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FF0C" w14:textId="77777777" w:rsidR="006B5117" w:rsidRDefault="006B5117" w:rsidP="006B5117">
      <w:pPr>
        <w:jc w:val="both"/>
        <w:rPr>
          <w:rFonts w:ascii="Century Gothic" w:hAnsi="Century Gothic" w:cs="Times New Roman"/>
          <w:b/>
          <w:bCs/>
          <w:color w:val="000000"/>
          <w:sz w:val="24"/>
          <w:szCs w:val="24"/>
        </w:rPr>
      </w:pPr>
    </w:p>
    <w:p w14:paraId="08ED0653" w14:textId="7E2CD562" w:rsidR="006B5117" w:rsidRPr="005B7E64" w:rsidRDefault="006B5117" w:rsidP="006B5117">
      <w:pPr>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H. CONGRESO DEL ESTADO DE CHIHUAHUA</w:t>
      </w:r>
    </w:p>
    <w:p w14:paraId="081859A6" w14:textId="77777777" w:rsidR="006B5117" w:rsidRPr="005B7E64" w:rsidRDefault="006B5117" w:rsidP="006B5117">
      <w:pPr>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P R E S E N T E. </w:t>
      </w:r>
    </w:p>
    <w:p w14:paraId="2933F153" w14:textId="77777777" w:rsidR="006B5117" w:rsidRPr="005B7E64" w:rsidRDefault="006B5117" w:rsidP="006B5117">
      <w:pPr>
        <w:rPr>
          <w:rFonts w:ascii="Times New Roman" w:eastAsia="Times New Roman" w:hAnsi="Times New Roman" w:cs="Times New Roman"/>
          <w:color w:val="000000"/>
          <w:sz w:val="24"/>
          <w:szCs w:val="24"/>
        </w:rPr>
      </w:pPr>
    </w:p>
    <w:p w14:paraId="14F00953" w14:textId="77777777" w:rsidR="00237C71" w:rsidRDefault="006B5117" w:rsidP="00237C71">
      <w:pPr>
        <w:spacing w:line="360" w:lineRule="auto"/>
        <w:jc w:val="both"/>
        <w:rPr>
          <w:rFonts w:ascii="Century Gothic" w:hAnsi="Century Gothic" w:cs="Times New Roman"/>
          <w:color w:val="000000"/>
          <w:sz w:val="24"/>
          <w:szCs w:val="24"/>
        </w:rPr>
      </w:pPr>
      <w:r w:rsidRPr="005B7E64">
        <w:rPr>
          <w:rFonts w:ascii="Century Gothic" w:hAnsi="Century Gothic" w:cs="Times New Roman"/>
          <w:color w:val="000000"/>
          <w:sz w:val="24"/>
          <w:szCs w:val="24"/>
        </w:rPr>
        <w:t>Quien suscribe</w:t>
      </w:r>
      <w:r>
        <w:rPr>
          <w:rFonts w:ascii="Century Gothic" w:hAnsi="Century Gothic" w:cs="Times New Roman"/>
          <w:color w:val="000000"/>
          <w:sz w:val="24"/>
          <w:szCs w:val="24"/>
        </w:rPr>
        <w:t>,</w:t>
      </w:r>
      <w:r w:rsidRPr="005B7E64">
        <w:rPr>
          <w:rFonts w:ascii="Century Gothic" w:hAnsi="Century Gothic" w:cs="Times New Roman"/>
          <w:color w:val="000000"/>
          <w:sz w:val="24"/>
          <w:szCs w:val="24"/>
        </w:rPr>
        <w:t xml:space="preserve"> </w:t>
      </w:r>
      <w:r w:rsidRPr="005B7E64">
        <w:rPr>
          <w:rFonts w:ascii="Century Gothic" w:hAnsi="Century Gothic" w:cs="Times New Roman"/>
          <w:b/>
          <w:bCs/>
          <w:color w:val="000000"/>
          <w:sz w:val="24"/>
          <w:szCs w:val="24"/>
        </w:rPr>
        <w:t xml:space="preserve">Benjamín Carrera Chávez, </w:t>
      </w:r>
      <w:r w:rsidRPr="005B7E64">
        <w:rPr>
          <w:rFonts w:ascii="Century Gothic" w:hAnsi="Century Gothic" w:cs="Times New Roman"/>
          <w:color w:val="000000"/>
          <w:sz w:val="24"/>
          <w:szCs w:val="24"/>
        </w:rPr>
        <w:t>en</w:t>
      </w:r>
      <w:r>
        <w:rPr>
          <w:rFonts w:ascii="Century Gothic" w:hAnsi="Century Gothic" w:cs="Times New Roman"/>
          <w:color w:val="000000"/>
          <w:sz w:val="24"/>
          <w:szCs w:val="24"/>
        </w:rPr>
        <w:t xml:space="preserve"> mi </w:t>
      </w:r>
      <w:r w:rsidRPr="005B7E64">
        <w:rPr>
          <w:rFonts w:ascii="Century Gothic" w:hAnsi="Century Gothic" w:cs="Times New Roman"/>
          <w:color w:val="000000"/>
          <w:sz w:val="24"/>
          <w:szCs w:val="24"/>
        </w:rPr>
        <w:t>carácter de Diputado de la Sexagésima Séptima Legislatura del Honorable Congreso del Estado de Chihuahua</w:t>
      </w:r>
      <w:r>
        <w:rPr>
          <w:rFonts w:ascii="Century Gothic" w:hAnsi="Century Gothic" w:cs="Times New Roman"/>
          <w:color w:val="000000"/>
          <w:sz w:val="24"/>
          <w:szCs w:val="24"/>
        </w:rPr>
        <w:t xml:space="preserve">, como </w:t>
      </w:r>
      <w:r w:rsidRPr="005B7E64">
        <w:rPr>
          <w:rFonts w:ascii="Century Gothic" w:hAnsi="Century Gothic" w:cs="Times New Roman"/>
          <w:color w:val="000000"/>
          <w:sz w:val="24"/>
          <w:szCs w:val="24"/>
        </w:rPr>
        <w:t xml:space="preserve"> integrante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w:t>
      </w:r>
      <w:r>
        <w:rPr>
          <w:rFonts w:ascii="Century Gothic" w:hAnsi="Century Gothic" w:cs="Times New Roman"/>
          <w:color w:val="000000"/>
          <w:sz w:val="24"/>
          <w:szCs w:val="24"/>
        </w:rPr>
        <w:t>o</w:t>
      </w:r>
      <w:r w:rsidRPr="005B7E64">
        <w:rPr>
          <w:rFonts w:ascii="Century Gothic" w:hAnsi="Century Gothic" w:cs="Times New Roman"/>
          <w:color w:val="000000"/>
          <w:sz w:val="24"/>
          <w:szCs w:val="24"/>
        </w:rPr>
        <w:t xml:space="preserve"> ante esta Honorable Asamblea Legislativa, a fin de someter a consideración del Pleno el siguiente proyecto con carácter de </w:t>
      </w:r>
      <w:r w:rsidRPr="005B7E64">
        <w:rPr>
          <w:rFonts w:ascii="Century Gothic" w:hAnsi="Century Gothic" w:cs="Times New Roman"/>
          <w:b/>
          <w:bCs/>
          <w:color w:val="000000"/>
          <w:sz w:val="24"/>
          <w:szCs w:val="24"/>
        </w:rPr>
        <w:t>DECRETO</w:t>
      </w:r>
      <w:r>
        <w:rPr>
          <w:rFonts w:ascii="Century Gothic" w:hAnsi="Century Gothic" w:cs="Times New Roman"/>
          <w:b/>
          <w:bCs/>
          <w:color w:val="000000"/>
          <w:sz w:val="24"/>
          <w:szCs w:val="24"/>
        </w:rPr>
        <w:t xml:space="preserve"> </w:t>
      </w:r>
      <w:r w:rsidRPr="006B5117">
        <w:rPr>
          <w:rFonts w:ascii="Century Gothic" w:hAnsi="Century Gothic" w:cs="Times New Roman"/>
          <w:color w:val="000000"/>
          <w:sz w:val="24"/>
          <w:szCs w:val="24"/>
        </w:rPr>
        <w:t>al tenor de la siguiente:</w:t>
      </w:r>
    </w:p>
    <w:p w14:paraId="58429FEF" w14:textId="6D8E27A3" w:rsidR="005D69EC" w:rsidRPr="00237C71" w:rsidRDefault="006B5117" w:rsidP="00237C71">
      <w:pPr>
        <w:spacing w:line="360" w:lineRule="auto"/>
        <w:jc w:val="center"/>
        <w:rPr>
          <w:rFonts w:ascii="Century Gothic" w:hAnsi="Century Gothic" w:cs="Times New Roman"/>
          <w:color w:val="000000"/>
          <w:sz w:val="24"/>
          <w:szCs w:val="24"/>
        </w:rPr>
      </w:pPr>
      <w:r>
        <w:rPr>
          <w:rFonts w:ascii="Century Gothic" w:hAnsi="Century Gothic" w:cs="Times New Roman"/>
          <w:b/>
          <w:bCs/>
          <w:color w:val="000000"/>
          <w:sz w:val="24"/>
          <w:szCs w:val="24"/>
        </w:rPr>
        <w:t>EXPOSICIÓN DE MOTIVOS.</w:t>
      </w:r>
    </w:p>
    <w:p w14:paraId="71A7B6F2" w14:textId="4C35F9E7" w:rsidR="005D69EC" w:rsidRPr="005D69EC" w:rsidRDefault="005D69EC" w:rsidP="005D69EC">
      <w:pPr>
        <w:spacing w:line="360" w:lineRule="auto"/>
        <w:ind w:hanging="2"/>
        <w:jc w:val="both"/>
        <w:rPr>
          <w:rFonts w:ascii="Century Gothic" w:eastAsia="Century Gothic" w:hAnsi="Century Gothic" w:cs="Century Gothic"/>
          <w:bCs/>
          <w:sz w:val="24"/>
          <w:szCs w:val="24"/>
        </w:rPr>
      </w:pPr>
      <w:r w:rsidRPr="005D69EC">
        <w:rPr>
          <w:rFonts w:ascii="Century Gothic" w:eastAsia="Century Gothic" w:hAnsi="Century Gothic" w:cs="Century Gothic"/>
          <w:bCs/>
          <w:sz w:val="24"/>
          <w:szCs w:val="24"/>
        </w:rPr>
        <w:t>Para fortuna de todas y todos, la participación ciudadana es un concepto en constante formación y transformación, que ha surgido como parte de la propia organización de la sociedad para hacer valer sus derechos y su pensamiento ante acciones de la autoridad, lo que por fortuna ha quedado ya plasmado en la Constitución y la legislación a nivel federal y local,  llevándonos lejos de aquellos regimenes autoritarios que monopolizaban el poder creyendose omnipotentes ante la comunidad.</w:t>
      </w:r>
    </w:p>
    <w:p w14:paraId="3BCB05F3" w14:textId="7E8EFFD5" w:rsidR="005D69EC" w:rsidRPr="005D69EC" w:rsidRDefault="005D69EC" w:rsidP="005D69EC">
      <w:pPr>
        <w:spacing w:line="360" w:lineRule="auto"/>
        <w:ind w:hanging="2"/>
        <w:jc w:val="both"/>
        <w:rPr>
          <w:rFonts w:ascii="Century Gothic" w:eastAsia="Century Gothic" w:hAnsi="Century Gothic" w:cs="Century Gothic"/>
          <w:bCs/>
          <w:sz w:val="24"/>
          <w:szCs w:val="24"/>
        </w:rPr>
      </w:pPr>
      <w:r w:rsidRPr="005D69EC">
        <w:rPr>
          <w:rFonts w:ascii="Century Gothic" w:eastAsia="Century Gothic" w:hAnsi="Century Gothic" w:cs="Century Gothic"/>
          <w:bCs/>
          <w:sz w:val="24"/>
          <w:szCs w:val="24"/>
        </w:rPr>
        <w:lastRenderedPageBreak/>
        <w:t xml:space="preserve">En ese orden de ideas, como legisladores debemos asegurar que toda reforma en materia de participación ciudadana, genere y propicie las condiciones necesarias para garantizar el ejercicio de dicho derecho, no como un acto de benevolencia, sino </w:t>
      </w:r>
      <w:r>
        <w:rPr>
          <w:rFonts w:ascii="Century Gothic" w:eastAsia="Century Gothic" w:hAnsi="Century Gothic" w:cs="Century Gothic"/>
          <w:bCs/>
          <w:sz w:val="24"/>
          <w:szCs w:val="24"/>
        </w:rPr>
        <w:t>por apego</w:t>
      </w:r>
      <w:r w:rsidRPr="005D69EC">
        <w:rPr>
          <w:rFonts w:ascii="Century Gothic" w:eastAsia="Century Gothic" w:hAnsi="Century Gothic" w:cs="Century Gothic"/>
          <w:bCs/>
          <w:sz w:val="24"/>
          <w:szCs w:val="24"/>
        </w:rPr>
        <w:t xml:space="preserve"> al estado de derecho.</w:t>
      </w:r>
    </w:p>
    <w:p w14:paraId="08F55DDD" w14:textId="72F4781A" w:rsidR="005D69EC" w:rsidRPr="005D69EC" w:rsidRDefault="005D69EC" w:rsidP="005D69EC">
      <w:pPr>
        <w:spacing w:line="360" w:lineRule="auto"/>
        <w:ind w:hanging="2"/>
        <w:jc w:val="both"/>
        <w:rPr>
          <w:rFonts w:ascii="Century Gothic" w:eastAsia="Century Gothic" w:hAnsi="Century Gothic" w:cs="Century Gothic"/>
          <w:bCs/>
          <w:sz w:val="24"/>
          <w:szCs w:val="24"/>
        </w:rPr>
      </w:pPr>
      <w:r w:rsidRPr="005D69EC">
        <w:rPr>
          <w:rFonts w:ascii="Century Gothic" w:eastAsia="Century Gothic" w:hAnsi="Century Gothic" w:cs="Century Gothic"/>
          <w:bCs/>
          <w:sz w:val="24"/>
          <w:szCs w:val="24"/>
        </w:rPr>
        <w:t>Dicho de otra forma, la participación, el control y el diálogo social deben ser no solo premisas, sino derechos ante los cuales no debe haber regresión, sino fomento y promoción a su acceso, por lo que esta propuesta plantea condiciones precisamente que generan progresividad y no regresividad.</w:t>
      </w:r>
    </w:p>
    <w:p w14:paraId="4BAEE704" w14:textId="4942612A" w:rsidR="005D69EC" w:rsidRDefault="005D69EC" w:rsidP="005D69EC">
      <w:pPr>
        <w:spacing w:line="360" w:lineRule="auto"/>
        <w:ind w:hanging="2"/>
        <w:jc w:val="both"/>
        <w:rPr>
          <w:rFonts w:ascii="Century Gothic" w:eastAsia="Century Gothic" w:hAnsi="Century Gothic" w:cs="Century Gothic"/>
          <w:bCs/>
          <w:sz w:val="24"/>
          <w:szCs w:val="24"/>
        </w:rPr>
      </w:pPr>
      <w:r w:rsidRPr="005D69EC">
        <w:rPr>
          <w:rFonts w:ascii="Century Gothic" w:eastAsia="Century Gothic" w:hAnsi="Century Gothic" w:cs="Century Gothic"/>
          <w:bCs/>
          <w:sz w:val="24"/>
          <w:szCs w:val="24"/>
        </w:rPr>
        <w:t>En ese orden de ideas, el principio de progresividad debe ser no solo una consideración con la ciudadanía, sino el eje que rija el actuar de las y los legisladores así como el criterio de formulación de legislación y políticas públicas.</w:t>
      </w:r>
    </w:p>
    <w:p w14:paraId="0C6B46B9" w14:textId="1196B82E" w:rsidR="005D69EC" w:rsidRDefault="005D69EC" w:rsidP="005D69EC">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Es necesario hacer énfasis respecto a que, la participación ciudadana empodera a la ciudadanía a través de la inclusión en procesos participativos no solo en el ámbito político, sino que permea al ámbito personal promoviendo el bienestar común, por lo que se vuelve fundamental ir rompiendo barreras legales en este ámbito, para de manera verdadera atender las necesidades de la comunidad por encima de los intereses de la administraición pública.</w:t>
      </w:r>
    </w:p>
    <w:p w14:paraId="2519A50F" w14:textId="6299177B" w:rsidR="005D69EC" w:rsidRDefault="005D69EC" w:rsidP="005D69EC">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Recordemos que, la legislación en materia de participación ha sido innovadora, dado que plasma estos principios planteando además instrumentos democráticos que trascienden al ejercicio del sufragio.</w:t>
      </w:r>
    </w:p>
    <w:p w14:paraId="33C95870" w14:textId="6A02B1DE" w:rsidR="005D69EC" w:rsidRDefault="005D69EC" w:rsidP="00237C71">
      <w:pPr>
        <w:spacing w:line="360" w:lineRule="auto"/>
        <w:ind w:left="-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Sin embargo, mientras persista la ambigüedad en las leyes de participación -al nivel que sean- y los requisitos para acceder a los mecanismos que la propia legislación contempla sean endurecidos,  lo que pretendía ser un instrumento social, podrá ser utilizado por igual tanto por potenciales dictadores como por gobernantes democráticos, ante leyes que finalmente son solo una simulación de democracia directa.</w:t>
      </w:r>
    </w:p>
    <w:p w14:paraId="27F36068" w14:textId="1CC975D1" w:rsidR="005D69EC" w:rsidRDefault="005D69EC" w:rsidP="005D69EC">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Es por lo anterior que, la mejor manera de asegurar que los mecanismos de participación sean de verdad dirigidos a fomentar que la comunidad se involucre, es precisamente haciendo modificaciones que los vuelvan accesibles, promoviendo su potencial.</w:t>
      </w:r>
    </w:p>
    <w:p w14:paraId="2411EC43" w14:textId="77777777" w:rsidR="005D69EC" w:rsidRDefault="005D69EC" w:rsidP="005D69EC">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Tenemos entonces que, para iniciar algunos de los mecanismos de participación, la ley estatal contempla porcentajes que resultan altos, lo que sin duda es sinónimo de que dichos ejercicios no están cercanos a la ciudadanía, y esto sin siquiera tomar en cuenta el porcentaje que se exige para que los resultados sean vinculantes para la autoridad.</w:t>
      </w:r>
    </w:p>
    <w:p w14:paraId="2832F3D9" w14:textId="25F544C2" w:rsidR="005D69EC" w:rsidRDefault="005D69EC" w:rsidP="005D69EC">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otras palabras, la primer barrera inicia al plantear los requisitos para dar entrada a la solicitud de los mecanismos de democracia directa, mismos que varían según la entidad: en Ciudad de México se requiere el 0.5% del listado nominal para iniciar cualquier mecanismo; Guerrero el 0.2% y las cifras van en aumento en entidades como</w:t>
      </w:r>
      <w:r w:rsidR="00237C71">
        <w:rPr>
          <w:rFonts w:ascii="Century Gothic" w:eastAsia="Century Gothic" w:hAnsi="Century Gothic" w:cs="Century Gothic"/>
          <w:bCs/>
          <w:sz w:val="24"/>
          <w:szCs w:val="24"/>
        </w:rPr>
        <w:t xml:space="preserve"> </w:t>
      </w:r>
      <w:r>
        <w:rPr>
          <w:rFonts w:ascii="Century Gothic" w:eastAsia="Century Gothic" w:hAnsi="Century Gothic" w:cs="Century Gothic"/>
          <w:bCs/>
          <w:sz w:val="24"/>
          <w:szCs w:val="24"/>
        </w:rPr>
        <w:t>Colima donde se pide el 7% o en Tabasco donde se requiere la solicitud del 10% del padron electoral para iniciar un referéndum o incluso en Tlaxcala donde se requiere el 25% para iniciar el plebiscito.</w:t>
      </w:r>
    </w:p>
    <w:p w14:paraId="3FA08F45" w14:textId="50304472" w:rsidR="005D69EC" w:rsidRDefault="005D69EC" w:rsidP="00237C71">
      <w:pPr>
        <w:spacing w:line="360" w:lineRule="auto"/>
        <w:ind w:hanging="2"/>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Si bien a nivel estatal, los porcentajes se muestran relativamente accesibles, debemos decir que cualquier modificación a la alta, implica sin duda una barrera de entrada muy grande, toda vez que se exige a la ciudadanía interesada, invertir en recursos materiales y humanos pareciendo que lo que se exige no es solo interes sino demostrar una capacidad organizativa</w:t>
      </w:r>
      <w:r w:rsidR="00237C71">
        <w:rPr>
          <w:rFonts w:ascii="Century Gothic" w:eastAsia="Century Gothic" w:hAnsi="Century Gothic" w:cs="Century Gothic"/>
          <w:bCs/>
          <w:sz w:val="24"/>
          <w:szCs w:val="24"/>
        </w:rPr>
        <w:t>, lo que aleja a la legislación de su primordial objetivo.</w:t>
      </w:r>
    </w:p>
    <w:p w14:paraId="385F1516" w14:textId="66BEBA7B" w:rsidR="005D69EC" w:rsidRPr="0021038C" w:rsidRDefault="00D65356" w:rsidP="0021038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P</w:t>
      </w:r>
      <w:r w:rsidR="0021038C">
        <w:rPr>
          <w:rFonts w:ascii="Century Gothic" w:hAnsi="Century Gothic" w:cs="Times New Roman"/>
          <w:color w:val="000000"/>
          <w:sz w:val="24"/>
          <w:szCs w:val="24"/>
        </w:rPr>
        <w:t>or lo</w:t>
      </w:r>
      <w:r>
        <w:rPr>
          <w:rFonts w:ascii="Century Gothic" w:hAnsi="Century Gothic" w:cs="Times New Roman"/>
          <w:color w:val="000000"/>
          <w:sz w:val="24"/>
          <w:szCs w:val="24"/>
        </w:rPr>
        <w:t xml:space="preserve"> anteriormente expuesto,</w:t>
      </w:r>
      <w:r w:rsidR="0021038C">
        <w:rPr>
          <w:rFonts w:ascii="Century Gothic" w:hAnsi="Century Gothic" w:cs="Times New Roman"/>
          <w:color w:val="000000"/>
          <w:sz w:val="24"/>
          <w:szCs w:val="24"/>
        </w:rPr>
        <w:t xml:space="preserve">  me permito someter a consideración del Pleno, el siguiente proyecto con carácter de:</w:t>
      </w:r>
    </w:p>
    <w:p w14:paraId="4678CA1C" w14:textId="25044710" w:rsidR="006B5117" w:rsidRDefault="006B5117" w:rsidP="007711FA">
      <w:pPr>
        <w:spacing w:line="360" w:lineRule="auto"/>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D E C R E T O:</w:t>
      </w:r>
    </w:p>
    <w:p w14:paraId="7789FC29" w14:textId="6FB7EEFF" w:rsidR="005D69EC" w:rsidRDefault="007711FA" w:rsidP="00DF1714">
      <w:pPr>
        <w:spacing w:line="360" w:lineRule="auto"/>
        <w:jc w:val="both"/>
        <w:rPr>
          <w:rFonts w:ascii="Century Gothic" w:hAnsi="Century Gothic" w:cs="Times New Roman"/>
          <w:color w:val="000000"/>
          <w:sz w:val="24"/>
          <w:szCs w:val="24"/>
        </w:rPr>
      </w:pPr>
      <w:r w:rsidRPr="00230B0A">
        <w:rPr>
          <w:rFonts w:ascii="Century Gothic" w:hAnsi="Century Gothic" w:cs="Times New Roman"/>
          <w:b/>
          <w:bCs/>
          <w:color w:val="000000"/>
          <w:sz w:val="24"/>
          <w:szCs w:val="24"/>
        </w:rPr>
        <w:t>ARTÍCULO ÚNICO</w:t>
      </w:r>
      <w:r w:rsidRPr="007711FA">
        <w:rPr>
          <w:rFonts w:ascii="Century Gothic" w:hAnsi="Century Gothic" w:cs="Times New Roman"/>
          <w:color w:val="000000"/>
          <w:sz w:val="24"/>
          <w:szCs w:val="24"/>
        </w:rPr>
        <w:t>. Se reforma</w:t>
      </w:r>
      <w:r w:rsidR="00D65356">
        <w:rPr>
          <w:rFonts w:ascii="Century Gothic" w:hAnsi="Century Gothic" w:cs="Times New Roman"/>
          <w:color w:val="000000"/>
          <w:sz w:val="24"/>
          <w:szCs w:val="24"/>
        </w:rPr>
        <w:t>n</w:t>
      </w:r>
      <w:r w:rsidRPr="007711FA">
        <w:rPr>
          <w:rFonts w:ascii="Century Gothic" w:hAnsi="Century Gothic" w:cs="Times New Roman"/>
          <w:color w:val="000000"/>
          <w:sz w:val="24"/>
          <w:szCs w:val="24"/>
        </w:rPr>
        <w:t xml:space="preserve"> los artículos</w:t>
      </w:r>
      <w:r w:rsidR="00237C71">
        <w:rPr>
          <w:rFonts w:ascii="Century Gothic" w:hAnsi="Century Gothic" w:cs="Times New Roman"/>
          <w:color w:val="000000"/>
          <w:sz w:val="24"/>
          <w:szCs w:val="24"/>
        </w:rPr>
        <w:t xml:space="preserve"> 54, 55 en sus fracciones I, II, III y IV,</w:t>
      </w:r>
      <w:r w:rsidRPr="007711FA">
        <w:rPr>
          <w:rFonts w:ascii="Century Gothic" w:hAnsi="Century Gothic" w:cs="Times New Roman"/>
          <w:color w:val="000000"/>
          <w:sz w:val="24"/>
          <w:szCs w:val="24"/>
        </w:rPr>
        <w:t xml:space="preserve"> </w:t>
      </w:r>
      <w:r w:rsidR="00237C71">
        <w:rPr>
          <w:rFonts w:ascii="Century Gothic" w:hAnsi="Century Gothic" w:cs="Times New Roman"/>
          <w:color w:val="000000"/>
          <w:sz w:val="24"/>
          <w:szCs w:val="24"/>
        </w:rPr>
        <w:t xml:space="preserve">así como el numeral 60, </w:t>
      </w:r>
      <w:r w:rsidRPr="007711FA">
        <w:rPr>
          <w:rFonts w:ascii="Century Gothic" w:hAnsi="Century Gothic" w:cs="Times New Roman"/>
          <w:color w:val="000000"/>
          <w:sz w:val="24"/>
          <w:szCs w:val="24"/>
        </w:rPr>
        <w:t>todos ellos de</w:t>
      </w:r>
      <w:r w:rsidR="00D65356">
        <w:rPr>
          <w:rFonts w:ascii="Century Gothic" w:hAnsi="Century Gothic" w:cs="Times New Roman"/>
          <w:color w:val="000000"/>
          <w:sz w:val="24"/>
          <w:szCs w:val="24"/>
        </w:rPr>
        <w:t xml:space="preserve"> la Ley de Participación</w:t>
      </w:r>
      <w:r w:rsidR="005D69EC">
        <w:rPr>
          <w:rFonts w:ascii="Century Gothic" w:hAnsi="Century Gothic" w:cs="Times New Roman"/>
          <w:color w:val="000000"/>
          <w:sz w:val="24"/>
          <w:szCs w:val="24"/>
        </w:rPr>
        <w:t xml:space="preserve"> Ciudadana</w:t>
      </w:r>
      <w:r w:rsidR="00D65356">
        <w:rPr>
          <w:rFonts w:ascii="Century Gothic" w:hAnsi="Century Gothic" w:cs="Times New Roman"/>
          <w:color w:val="000000"/>
          <w:sz w:val="24"/>
          <w:szCs w:val="24"/>
        </w:rPr>
        <w:t xml:space="preserve"> </w:t>
      </w:r>
      <w:r w:rsidRPr="007711FA">
        <w:rPr>
          <w:rFonts w:ascii="Century Gothic" w:hAnsi="Century Gothic" w:cs="Times New Roman"/>
          <w:color w:val="000000"/>
          <w:sz w:val="24"/>
          <w:szCs w:val="24"/>
        </w:rPr>
        <w:t xml:space="preserve">del Estado </w:t>
      </w:r>
      <w:r w:rsidR="00336344">
        <w:rPr>
          <w:rFonts w:ascii="Century Gothic" w:hAnsi="Century Gothic" w:cs="Times New Roman"/>
          <w:color w:val="000000"/>
          <w:sz w:val="24"/>
          <w:szCs w:val="24"/>
        </w:rPr>
        <w:t>de Chihuahua</w:t>
      </w:r>
      <w:r w:rsidR="00D65356">
        <w:rPr>
          <w:rFonts w:ascii="Century Gothic" w:hAnsi="Century Gothic" w:cs="Times New Roman"/>
          <w:color w:val="000000"/>
          <w:sz w:val="24"/>
          <w:szCs w:val="24"/>
        </w:rPr>
        <w:t xml:space="preserve">, </w:t>
      </w:r>
      <w:r w:rsidRPr="007711FA">
        <w:rPr>
          <w:rFonts w:ascii="Century Gothic" w:hAnsi="Century Gothic" w:cs="Times New Roman"/>
          <w:color w:val="000000"/>
          <w:sz w:val="24"/>
          <w:szCs w:val="24"/>
        </w:rPr>
        <w:t>para quedar redactados de la siguiente manera:</w:t>
      </w:r>
    </w:p>
    <w:p w14:paraId="2930D9C5" w14:textId="77777777" w:rsidR="00237C71" w:rsidRDefault="00237C71" w:rsidP="00DF1714">
      <w:pPr>
        <w:spacing w:line="360" w:lineRule="auto"/>
        <w:jc w:val="both"/>
        <w:rPr>
          <w:rFonts w:ascii="Century Gothic" w:hAnsi="Century Gothic" w:cs="Times New Roman"/>
          <w:color w:val="000000"/>
          <w:sz w:val="24"/>
          <w:szCs w:val="24"/>
        </w:rPr>
      </w:pPr>
    </w:p>
    <w:p w14:paraId="4ACDDAC4" w14:textId="77777777" w:rsidR="005D69EC" w:rsidRDefault="005D69EC" w:rsidP="005D69EC">
      <w:pPr>
        <w:spacing w:line="360" w:lineRule="auto"/>
        <w:ind w:left="708"/>
        <w:jc w:val="both"/>
        <w:rPr>
          <w:rFonts w:ascii="Century Gothic" w:hAnsi="Century Gothic" w:cs="Times New Roman"/>
          <w:color w:val="000000"/>
        </w:rPr>
      </w:pPr>
      <w:r w:rsidRPr="005D69EC">
        <w:rPr>
          <w:rFonts w:ascii="Century Gothic" w:hAnsi="Century Gothic" w:cs="Times New Roman"/>
          <w:b/>
          <w:bCs/>
          <w:color w:val="000000"/>
        </w:rPr>
        <w:t>Artículo 54.</w:t>
      </w:r>
      <w:r w:rsidRPr="005D69EC">
        <w:rPr>
          <w:rFonts w:ascii="Century Gothic" w:hAnsi="Century Gothic" w:cs="Times New Roman"/>
          <w:color w:val="000000"/>
        </w:rPr>
        <w:t xml:space="preserve"> Podrá solicitar la revocación de mandato de quien ocupe la titularidad del Poder Ejecutivo del Estado, al menos el </w:t>
      </w:r>
      <w:r w:rsidRPr="005D69EC">
        <w:rPr>
          <w:rFonts w:ascii="Century Gothic" w:hAnsi="Century Gothic" w:cs="Times New Roman"/>
          <w:b/>
          <w:bCs/>
          <w:color w:val="000000"/>
        </w:rPr>
        <w:t>tres</w:t>
      </w:r>
      <w:r w:rsidRPr="005D69EC">
        <w:rPr>
          <w:rFonts w:ascii="Century Gothic" w:hAnsi="Century Gothic" w:cs="Times New Roman"/>
          <w:color w:val="000000"/>
        </w:rPr>
        <w:t xml:space="preserve"> por ciento de la ciudadanía registrada en la lista nominal del Estado. </w:t>
      </w:r>
    </w:p>
    <w:p w14:paraId="10869E56" w14:textId="77777777" w:rsidR="00237C71" w:rsidRPr="005D69EC" w:rsidRDefault="00237C71" w:rsidP="005D69EC">
      <w:pPr>
        <w:spacing w:line="360" w:lineRule="auto"/>
        <w:ind w:left="708"/>
        <w:jc w:val="both"/>
        <w:rPr>
          <w:rFonts w:ascii="Century Gothic" w:hAnsi="Century Gothic" w:cs="Times New Roman"/>
          <w:color w:val="000000"/>
        </w:rPr>
      </w:pPr>
    </w:p>
    <w:p w14:paraId="0C90EA88" w14:textId="77777777" w:rsidR="005D69EC" w:rsidRPr="005D69EC" w:rsidRDefault="005D69EC" w:rsidP="005D69EC">
      <w:pPr>
        <w:spacing w:line="360" w:lineRule="auto"/>
        <w:ind w:left="708"/>
        <w:jc w:val="both"/>
        <w:rPr>
          <w:rFonts w:ascii="Century Gothic" w:hAnsi="Century Gothic"/>
        </w:rPr>
      </w:pPr>
      <w:r w:rsidRPr="005D69EC">
        <w:rPr>
          <w:rFonts w:ascii="Century Gothic" w:hAnsi="Century Gothic"/>
          <w:b/>
          <w:bCs/>
        </w:rPr>
        <w:t>Artículo 55.</w:t>
      </w:r>
      <w:r w:rsidRPr="005D69EC">
        <w:rPr>
          <w:rFonts w:ascii="Century Gothic" w:hAnsi="Century Gothic"/>
        </w:rPr>
        <w:t xml:space="preserve"> La revocación de mandato de quien ocupe la titularidad de una presidencia municipal o sindicatura, podrá ser solicitada por: </w:t>
      </w:r>
    </w:p>
    <w:p w14:paraId="2E8221AC" w14:textId="19B04987" w:rsidR="005D69EC" w:rsidRPr="005D69EC" w:rsidRDefault="005D69EC" w:rsidP="005D69EC">
      <w:pPr>
        <w:pStyle w:val="Prrafodelista"/>
        <w:numPr>
          <w:ilvl w:val="0"/>
          <w:numId w:val="2"/>
        </w:numPr>
        <w:spacing w:line="360" w:lineRule="auto"/>
        <w:jc w:val="both"/>
        <w:rPr>
          <w:rFonts w:ascii="Century Gothic" w:hAnsi="Century Gothic"/>
        </w:rPr>
      </w:pPr>
      <w:r w:rsidRPr="005D69EC">
        <w:rPr>
          <w:rFonts w:ascii="Century Gothic" w:hAnsi="Century Gothic"/>
        </w:rPr>
        <w:t xml:space="preserve">El </w:t>
      </w:r>
      <w:r w:rsidRPr="005D69EC">
        <w:rPr>
          <w:rFonts w:ascii="Century Gothic" w:hAnsi="Century Gothic"/>
          <w:b/>
          <w:bCs/>
        </w:rPr>
        <w:t>quince</w:t>
      </w:r>
      <w:r w:rsidRPr="005D69EC">
        <w:rPr>
          <w:rFonts w:ascii="Century Gothic" w:hAnsi="Century Gothic"/>
        </w:rPr>
        <w:t xml:space="preserve"> por ciento de los ciudadanos registrados en la Lista Nominal del municipio, cuando los electores sean hasta de cinco mil. </w:t>
      </w:r>
    </w:p>
    <w:p w14:paraId="54B58DF2" w14:textId="1604B8F0" w:rsidR="005D69EC" w:rsidRPr="005D69EC" w:rsidRDefault="005D69EC" w:rsidP="005D69EC">
      <w:pPr>
        <w:pStyle w:val="NormalWeb"/>
        <w:numPr>
          <w:ilvl w:val="0"/>
          <w:numId w:val="2"/>
        </w:numPr>
        <w:spacing w:line="360" w:lineRule="auto"/>
        <w:jc w:val="both"/>
        <w:rPr>
          <w:rFonts w:ascii="Century Gothic" w:hAnsi="Century Gothic" w:cs="Arial"/>
          <w:sz w:val="22"/>
          <w:szCs w:val="22"/>
        </w:rPr>
      </w:pPr>
      <w:r w:rsidRPr="005D69EC">
        <w:rPr>
          <w:rFonts w:ascii="Century Gothic" w:hAnsi="Century Gothic" w:cs="Arial"/>
          <w:sz w:val="22"/>
          <w:szCs w:val="22"/>
        </w:rPr>
        <w:lastRenderedPageBreak/>
        <w:t xml:space="preserve">El </w:t>
      </w:r>
      <w:r w:rsidRPr="005D69EC">
        <w:rPr>
          <w:rFonts w:ascii="Century Gothic" w:hAnsi="Century Gothic" w:cs="Arial"/>
          <w:b/>
          <w:bCs/>
          <w:sz w:val="22"/>
          <w:szCs w:val="22"/>
        </w:rPr>
        <w:t xml:space="preserve">diez </w:t>
      </w:r>
      <w:r w:rsidRPr="005D69EC">
        <w:rPr>
          <w:rFonts w:ascii="Century Gothic" w:hAnsi="Century Gothic" w:cs="Arial"/>
          <w:sz w:val="22"/>
          <w:szCs w:val="22"/>
        </w:rPr>
        <w:t xml:space="preserve">por ciento de los ciudadanos registrados en la lista nominal del municipio, cuando los electores sean más de cinco mil y hasta de cincuenta mil. </w:t>
      </w:r>
    </w:p>
    <w:p w14:paraId="5413539B" w14:textId="4977CD65" w:rsidR="005D69EC" w:rsidRPr="005D69EC" w:rsidRDefault="005D69EC" w:rsidP="005D69EC">
      <w:pPr>
        <w:pStyle w:val="NormalWeb"/>
        <w:numPr>
          <w:ilvl w:val="0"/>
          <w:numId w:val="2"/>
        </w:numPr>
        <w:spacing w:line="360" w:lineRule="auto"/>
        <w:jc w:val="both"/>
        <w:rPr>
          <w:rFonts w:ascii="Century Gothic" w:hAnsi="Century Gothic" w:cs="Arial"/>
          <w:sz w:val="22"/>
          <w:szCs w:val="22"/>
        </w:rPr>
      </w:pPr>
      <w:r w:rsidRPr="005D69EC">
        <w:rPr>
          <w:rFonts w:ascii="Century Gothic" w:hAnsi="Century Gothic" w:cs="Arial"/>
          <w:sz w:val="22"/>
          <w:szCs w:val="22"/>
        </w:rPr>
        <w:t xml:space="preserve">El </w:t>
      </w:r>
      <w:r w:rsidRPr="005D69EC">
        <w:rPr>
          <w:rFonts w:ascii="Century Gothic" w:hAnsi="Century Gothic" w:cs="Arial"/>
          <w:b/>
          <w:bCs/>
          <w:sz w:val="22"/>
          <w:szCs w:val="22"/>
        </w:rPr>
        <w:t>cinco</w:t>
      </w:r>
      <w:r w:rsidRPr="005D69EC">
        <w:rPr>
          <w:rFonts w:ascii="Century Gothic" w:hAnsi="Century Gothic" w:cs="Arial"/>
          <w:sz w:val="22"/>
          <w:szCs w:val="22"/>
        </w:rPr>
        <w:t xml:space="preserve"> por ciento de los ciudadanos registrados en la Lista Nominal del municipio, cuando los electores sean más de cincuenta mil y menos de ciento cincuenta mil. </w:t>
      </w:r>
    </w:p>
    <w:p w14:paraId="2FC9B76F" w14:textId="5A792C6E" w:rsidR="00237C71" w:rsidRPr="00237C71" w:rsidRDefault="005D69EC" w:rsidP="00237C71">
      <w:pPr>
        <w:pStyle w:val="NormalWeb"/>
        <w:numPr>
          <w:ilvl w:val="0"/>
          <w:numId w:val="2"/>
        </w:numPr>
        <w:spacing w:line="360" w:lineRule="auto"/>
        <w:jc w:val="both"/>
        <w:rPr>
          <w:rFonts w:ascii="Century Gothic" w:hAnsi="Century Gothic" w:cs="Arial"/>
          <w:sz w:val="22"/>
          <w:szCs w:val="22"/>
        </w:rPr>
      </w:pPr>
      <w:r w:rsidRPr="005D69EC">
        <w:rPr>
          <w:rFonts w:ascii="Century Gothic" w:hAnsi="Century Gothic" w:cs="Arial"/>
          <w:sz w:val="22"/>
          <w:szCs w:val="22"/>
        </w:rPr>
        <w:t xml:space="preserve">El </w:t>
      </w:r>
      <w:r w:rsidRPr="005D69EC">
        <w:rPr>
          <w:rFonts w:ascii="Century Gothic" w:hAnsi="Century Gothic" w:cs="Arial"/>
          <w:b/>
          <w:bCs/>
          <w:sz w:val="22"/>
          <w:szCs w:val="22"/>
        </w:rPr>
        <w:t xml:space="preserve">tres </w:t>
      </w:r>
      <w:r w:rsidRPr="005D69EC">
        <w:rPr>
          <w:rFonts w:ascii="Century Gothic" w:hAnsi="Century Gothic" w:cs="Arial"/>
          <w:sz w:val="22"/>
          <w:szCs w:val="22"/>
        </w:rPr>
        <w:t xml:space="preserve">por ciento de los ciudadanos registrados en la Lista Nominal del municipio, cuando los electores sean más de ciento cincuenta mil. </w:t>
      </w:r>
    </w:p>
    <w:p w14:paraId="1C21F9FC" w14:textId="5400FD69" w:rsidR="005D69EC" w:rsidRPr="005D69EC" w:rsidRDefault="005D69EC" w:rsidP="005D69EC">
      <w:pPr>
        <w:pStyle w:val="NormalWeb"/>
        <w:spacing w:line="360" w:lineRule="auto"/>
        <w:ind w:left="708"/>
        <w:jc w:val="both"/>
        <w:rPr>
          <w:rFonts w:ascii="Century Gothic" w:hAnsi="Century Gothic" w:cs="Arial"/>
          <w:sz w:val="22"/>
          <w:szCs w:val="22"/>
        </w:rPr>
      </w:pPr>
      <w:r w:rsidRPr="005D69EC">
        <w:rPr>
          <w:rFonts w:ascii="Century Gothic" w:hAnsi="Century Gothic"/>
          <w:b/>
          <w:bCs/>
          <w:sz w:val="22"/>
          <w:szCs w:val="22"/>
        </w:rPr>
        <w:t>Artículo 60.</w:t>
      </w:r>
      <w:r w:rsidRPr="005D69EC">
        <w:rPr>
          <w:rFonts w:ascii="Century Gothic" w:hAnsi="Century Gothic"/>
          <w:sz w:val="22"/>
          <w:szCs w:val="22"/>
        </w:rPr>
        <w:t xml:space="preserve"> </w:t>
      </w:r>
      <w:r w:rsidRPr="005D69EC">
        <w:rPr>
          <w:rFonts w:ascii="Century Gothic" w:hAnsi="Century Gothic" w:cs="Arial"/>
          <w:sz w:val="22"/>
          <w:szCs w:val="22"/>
        </w:rPr>
        <w:t xml:space="preserve">El instrumento de revocación de mandato procederá solamente una vez en el periodo para </w:t>
      </w:r>
      <w:r w:rsidRPr="005D69EC">
        <w:rPr>
          <w:rFonts w:ascii="Century Gothic" w:hAnsi="Century Gothic" w:cs="Arial"/>
          <w:b/>
          <w:bCs/>
          <w:sz w:val="22"/>
          <w:szCs w:val="22"/>
        </w:rPr>
        <w:t xml:space="preserve">la persona </w:t>
      </w:r>
      <w:r w:rsidRPr="005D69EC">
        <w:rPr>
          <w:rFonts w:ascii="Century Gothic" w:hAnsi="Century Gothic" w:cs="Arial"/>
          <w:sz w:val="22"/>
          <w:szCs w:val="22"/>
        </w:rPr>
        <w:t xml:space="preserve">quien ostente la titularidad del Poder Ejecutivo Estatal, de la diputación, de la presidencia municipal o de la sindicatura </w:t>
      </w:r>
      <w:r w:rsidRPr="005D69EC">
        <w:rPr>
          <w:rFonts w:ascii="Century Gothic" w:hAnsi="Century Gothic"/>
          <w:b/>
          <w:bCs/>
          <w:sz w:val="22"/>
          <w:szCs w:val="22"/>
        </w:rPr>
        <w:t xml:space="preserve">de la manera siguiente: </w:t>
      </w:r>
    </w:p>
    <w:p w14:paraId="2C61F2EA" w14:textId="77777777" w:rsidR="005D69EC" w:rsidRPr="005D69EC" w:rsidRDefault="005D69EC" w:rsidP="005D69EC">
      <w:pPr>
        <w:spacing w:line="360" w:lineRule="auto"/>
        <w:ind w:left="708"/>
        <w:jc w:val="both"/>
        <w:rPr>
          <w:rFonts w:ascii="Century Gothic" w:hAnsi="Century Gothic" w:cs="Times New Roman"/>
          <w:b/>
          <w:bCs/>
          <w:color w:val="000000"/>
        </w:rPr>
      </w:pPr>
      <w:r w:rsidRPr="005D69EC">
        <w:rPr>
          <w:rFonts w:ascii="Century Gothic" w:hAnsi="Century Gothic"/>
          <w:b/>
          <w:bCs/>
        </w:rPr>
        <w:t xml:space="preserve">a) Dentro de los noventa días posteriores a la conclusión de la mitad del periodo constitucional de quien ostente la titularidad del Ejecutivo Estatal; y </w:t>
      </w:r>
    </w:p>
    <w:p w14:paraId="35F84C99" w14:textId="5390BB66" w:rsidR="005D69EC" w:rsidRDefault="005D69EC" w:rsidP="00237C71">
      <w:pPr>
        <w:spacing w:line="360" w:lineRule="auto"/>
        <w:ind w:left="708"/>
        <w:rPr>
          <w:rFonts w:ascii="Century Gothic" w:hAnsi="Century Gothic"/>
          <w:b/>
          <w:bCs/>
        </w:rPr>
      </w:pPr>
      <w:r w:rsidRPr="005D69EC">
        <w:rPr>
          <w:rFonts w:ascii="Century Gothic" w:hAnsi="Century Gothic"/>
          <w:b/>
          <w:bCs/>
        </w:rPr>
        <w:t>b) Dentro de los cuarenta y cinco días posteriores a la conclusión de la mitad del periodo constitucional de quienes ostenten diputaciones locales, presidencias municipales y sindicaturas.</w:t>
      </w:r>
    </w:p>
    <w:p w14:paraId="65B0008B" w14:textId="77777777" w:rsidR="00237C71" w:rsidRPr="005D69EC" w:rsidRDefault="00237C71" w:rsidP="00237C71">
      <w:pPr>
        <w:spacing w:line="360" w:lineRule="auto"/>
        <w:ind w:left="708"/>
        <w:rPr>
          <w:rFonts w:ascii="Century Gothic" w:hAnsi="Century Gothic"/>
          <w:b/>
          <w:bCs/>
        </w:rPr>
      </w:pPr>
    </w:p>
    <w:p w14:paraId="505A2EFD" w14:textId="77777777" w:rsidR="00230B0A" w:rsidRPr="00D65356" w:rsidRDefault="00230B0A" w:rsidP="00230B0A">
      <w:pPr>
        <w:jc w:val="center"/>
        <w:rPr>
          <w:rFonts w:ascii="Times New Roman" w:hAnsi="Times New Roman" w:cs="Times New Roman"/>
          <w:color w:val="000000"/>
          <w:sz w:val="24"/>
          <w:szCs w:val="24"/>
          <w:lang w:val="en-US"/>
        </w:rPr>
      </w:pPr>
      <w:r w:rsidRPr="00D65356">
        <w:rPr>
          <w:rFonts w:ascii="Century Gothic" w:hAnsi="Century Gothic" w:cs="Times New Roman"/>
          <w:b/>
          <w:bCs/>
          <w:color w:val="000000"/>
          <w:sz w:val="24"/>
          <w:szCs w:val="24"/>
          <w:shd w:val="clear" w:color="auto" w:fill="FFFFFF"/>
          <w:lang w:val="en-US"/>
        </w:rPr>
        <w:t>T R A N S I T O R I O S:</w:t>
      </w:r>
    </w:p>
    <w:p w14:paraId="2EC97D32" w14:textId="77777777" w:rsidR="00230B0A" w:rsidRPr="00D65356" w:rsidRDefault="00230B0A" w:rsidP="00230B0A">
      <w:pPr>
        <w:rPr>
          <w:rFonts w:ascii="Times New Roman" w:eastAsia="Times New Roman" w:hAnsi="Times New Roman" w:cs="Times New Roman"/>
          <w:color w:val="000000"/>
          <w:sz w:val="24"/>
          <w:szCs w:val="24"/>
          <w:lang w:val="en-US"/>
        </w:rPr>
      </w:pPr>
    </w:p>
    <w:p w14:paraId="37CEEB98" w14:textId="644585EC" w:rsidR="00230B0A" w:rsidRPr="00D65356" w:rsidRDefault="00230B0A" w:rsidP="00D65356">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 xml:space="preserve">ÚNICO. - </w:t>
      </w:r>
      <w:r w:rsidRPr="005B7E64">
        <w:rPr>
          <w:rFonts w:ascii="Century Gothic" w:hAnsi="Century Gothic" w:cs="Times New Roman"/>
          <w:color w:val="000000"/>
          <w:sz w:val="24"/>
          <w:szCs w:val="24"/>
        </w:rPr>
        <w:t>El presente Decreto entrará en vigor al día siguiente de su publicación en el Periódico Oficial del Estado.</w:t>
      </w:r>
    </w:p>
    <w:p w14:paraId="6CE94825" w14:textId="0447E642" w:rsidR="005D69EC" w:rsidRDefault="00230B0A" w:rsidP="005D69EC">
      <w:pPr>
        <w:spacing w:line="360" w:lineRule="auto"/>
        <w:jc w:val="both"/>
        <w:rPr>
          <w:rFonts w:ascii="Century Gothic" w:hAnsi="Century Gothic" w:cs="Times New Roman"/>
          <w:color w:val="000000"/>
          <w:sz w:val="24"/>
          <w:szCs w:val="24"/>
        </w:rPr>
      </w:pPr>
      <w:r w:rsidRPr="005B7E64">
        <w:rPr>
          <w:rFonts w:ascii="Century Gothic" w:hAnsi="Century Gothic" w:cs="Times New Roman"/>
          <w:b/>
          <w:bCs/>
          <w:color w:val="000000"/>
          <w:sz w:val="24"/>
          <w:szCs w:val="24"/>
        </w:rPr>
        <w:lastRenderedPageBreak/>
        <w:t xml:space="preserve">ECONÓMICO. - </w:t>
      </w:r>
      <w:r w:rsidRPr="005B7E64">
        <w:rPr>
          <w:rFonts w:ascii="Century Gothic" w:hAnsi="Century Gothic" w:cs="Times New Roman"/>
          <w:color w:val="000000"/>
          <w:sz w:val="24"/>
          <w:szCs w:val="24"/>
        </w:rPr>
        <w:t>Aprobado que sea, túrnese a la Secretaría de Asuntos Legislativos y Jurídicos para que elabore la minuta de Decreto, en los términos en que deba publicarse.</w:t>
      </w:r>
    </w:p>
    <w:p w14:paraId="4101CB0D" w14:textId="77777777" w:rsidR="00237C71" w:rsidRPr="005D69EC" w:rsidRDefault="00237C71" w:rsidP="005D69EC">
      <w:pPr>
        <w:spacing w:line="360" w:lineRule="auto"/>
        <w:jc w:val="both"/>
        <w:rPr>
          <w:rFonts w:ascii="Times New Roman" w:hAnsi="Times New Roman" w:cs="Times New Roman"/>
          <w:color w:val="000000"/>
          <w:sz w:val="24"/>
          <w:szCs w:val="24"/>
        </w:rPr>
      </w:pPr>
    </w:p>
    <w:p w14:paraId="0D576F8A" w14:textId="1C4AEF72" w:rsidR="00230B0A" w:rsidRPr="00230B0A" w:rsidRDefault="007D6624" w:rsidP="00230B0A">
      <w:pPr>
        <w:spacing w:line="360" w:lineRule="auto"/>
        <w:jc w:val="both"/>
        <w:rPr>
          <w:rFonts w:ascii="Times New Roman" w:hAnsi="Times New Roman" w:cs="Times New Roman"/>
          <w:color w:val="000000"/>
          <w:sz w:val="24"/>
          <w:szCs w:val="24"/>
        </w:rPr>
      </w:pPr>
      <w:r>
        <w:rPr>
          <w:noProof/>
          <w:lang w:eastAsia="es-MX"/>
        </w:rPr>
        <w:drawing>
          <wp:anchor distT="0" distB="0" distL="114300" distR="114300" simplePos="0" relativeHeight="251659264" behindDoc="1" locked="0" layoutInCell="1" allowOverlap="1" wp14:anchorId="415ADB35" wp14:editId="01D09F7E">
            <wp:simplePos x="0" y="0"/>
            <wp:positionH relativeFrom="margin">
              <wp:align>center</wp:align>
            </wp:positionH>
            <wp:positionV relativeFrom="paragraph">
              <wp:posOffset>650875</wp:posOffset>
            </wp:positionV>
            <wp:extent cx="2874457" cy="1283316"/>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4457" cy="12833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0B0A" w:rsidRPr="005B7E64">
        <w:rPr>
          <w:rFonts w:ascii="Century Gothic" w:hAnsi="Century Gothic" w:cs="Times New Roman"/>
          <w:b/>
          <w:bCs/>
          <w:color w:val="000000"/>
          <w:sz w:val="24"/>
          <w:szCs w:val="24"/>
        </w:rPr>
        <w:t>D A D O</w:t>
      </w:r>
      <w:r w:rsidR="00230B0A" w:rsidRPr="005B7E64">
        <w:rPr>
          <w:rFonts w:ascii="Century Gothic" w:hAnsi="Century Gothic" w:cs="Times New Roman"/>
          <w:color w:val="000000"/>
          <w:sz w:val="24"/>
          <w:szCs w:val="24"/>
        </w:rPr>
        <w:t xml:space="preserve"> </w:t>
      </w:r>
      <w:r w:rsidR="00D65356">
        <w:rPr>
          <w:rFonts w:ascii="Century Gothic" w:hAnsi="Century Gothic" w:cs="Times New Roman"/>
          <w:color w:val="000000"/>
          <w:sz w:val="24"/>
          <w:szCs w:val="24"/>
        </w:rPr>
        <w:t>a través de la Oficialía de Partes del H. Congreso del Estado</w:t>
      </w:r>
      <w:r w:rsidR="00230B0A" w:rsidRPr="005B7E64">
        <w:rPr>
          <w:rFonts w:ascii="Century Gothic" w:hAnsi="Century Gothic" w:cs="Times New Roman"/>
          <w:color w:val="000000"/>
          <w:sz w:val="24"/>
          <w:szCs w:val="24"/>
        </w:rPr>
        <w:t>, a los</w:t>
      </w:r>
      <w:r w:rsidR="00230B0A">
        <w:rPr>
          <w:rFonts w:ascii="Century Gothic" w:hAnsi="Century Gothic" w:cs="Times New Roman"/>
          <w:color w:val="000000"/>
          <w:sz w:val="24"/>
          <w:szCs w:val="24"/>
        </w:rPr>
        <w:t xml:space="preserve"> </w:t>
      </w:r>
      <w:r w:rsidR="00D65356">
        <w:rPr>
          <w:rFonts w:ascii="Century Gothic" w:hAnsi="Century Gothic" w:cs="Times New Roman"/>
          <w:color w:val="000000"/>
          <w:sz w:val="24"/>
          <w:szCs w:val="24"/>
        </w:rPr>
        <w:t>9</w:t>
      </w:r>
      <w:r w:rsidR="00230B0A" w:rsidRPr="005B7E64">
        <w:rPr>
          <w:rFonts w:ascii="Century Gothic" w:hAnsi="Century Gothic" w:cs="Times New Roman"/>
          <w:color w:val="000000"/>
          <w:sz w:val="24"/>
          <w:szCs w:val="24"/>
        </w:rPr>
        <w:t xml:space="preserve"> días del mes de </w:t>
      </w:r>
      <w:r w:rsidR="00D65356">
        <w:rPr>
          <w:rFonts w:ascii="Century Gothic" w:hAnsi="Century Gothic" w:cs="Times New Roman"/>
          <w:color w:val="000000"/>
          <w:sz w:val="24"/>
          <w:szCs w:val="24"/>
        </w:rPr>
        <w:t xml:space="preserve">agosto </w:t>
      </w:r>
      <w:r w:rsidR="00230B0A" w:rsidRPr="005B7E64">
        <w:rPr>
          <w:rFonts w:ascii="Century Gothic" w:hAnsi="Century Gothic" w:cs="Times New Roman"/>
          <w:color w:val="000000"/>
          <w:sz w:val="24"/>
          <w:szCs w:val="24"/>
        </w:rPr>
        <w:t>del año dos mil veinti</w:t>
      </w:r>
      <w:r w:rsidR="00230B0A">
        <w:rPr>
          <w:rFonts w:ascii="Century Gothic" w:hAnsi="Century Gothic" w:cs="Times New Roman"/>
          <w:color w:val="000000"/>
          <w:sz w:val="24"/>
          <w:szCs w:val="24"/>
        </w:rPr>
        <w:t>cuatro</w:t>
      </w:r>
      <w:r w:rsidR="00230B0A" w:rsidRPr="005B7E64">
        <w:rPr>
          <w:rFonts w:ascii="Century Gothic" w:hAnsi="Century Gothic" w:cs="Times New Roman"/>
          <w:color w:val="000000"/>
          <w:sz w:val="24"/>
          <w:szCs w:val="24"/>
        </w:rPr>
        <w:t>. </w:t>
      </w:r>
    </w:p>
    <w:p w14:paraId="6E5EAADE" w14:textId="6FAD2EB2" w:rsidR="00230B0A" w:rsidRDefault="00230B0A" w:rsidP="00230B0A">
      <w:pPr>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ATENTAMENTE,</w:t>
      </w:r>
    </w:p>
    <w:p w14:paraId="2DC308E3" w14:textId="7DCF7F13" w:rsidR="00230B0A" w:rsidRDefault="00230B0A" w:rsidP="00230B0A">
      <w:pPr>
        <w:jc w:val="center"/>
        <w:rPr>
          <w:rFonts w:ascii="Century Gothic" w:hAnsi="Century Gothic" w:cs="Times New Roman"/>
          <w:b/>
          <w:bCs/>
          <w:color w:val="000000"/>
          <w:sz w:val="24"/>
          <w:szCs w:val="24"/>
        </w:rPr>
      </w:pPr>
    </w:p>
    <w:p w14:paraId="02F850CD" w14:textId="77777777" w:rsidR="00230B0A" w:rsidRDefault="00230B0A" w:rsidP="00230B0A">
      <w:pPr>
        <w:jc w:val="center"/>
        <w:rPr>
          <w:rFonts w:ascii="Century Gothic" w:hAnsi="Century Gothic" w:cs="Times New Roman"/>
          <w:b/>
          <w:bCs/>
          <w:color w:val="000000"/>
          <w:sz w:val="24"/>
          <w:szCs w:val="24"/>
        </w:rPr>
      </w:pPr>
    </w:p>
    <w:p w14:paraId="3DFBDCE0" w14:textId="1C8B4BDE" w:rsidR="00230B0A" w:rsidRPr="005B7E64" w:rsidRDefault="00230B0A" w:rsidP="00230B0A">
      <w:pPr>
        <w:jc w:val="center"/>
        <w:rPr>
          <w:rFonts w:ascii="Times New Roman" w:hAnsi="Times New Roman" w:cs="Times New Roman"/>
          <w:color w:val="000000"/>
          <w:sz w:val="24"/>
          <w:szCs w:val="24"/>
        </w:rPr>
      </w:pPr>
      <w:r>
        <w:rPr>
          <w:rFonts w:ascii="Century Gothic" w:hAnsi="Century Gothic" w:cs="Times New Roman"/>
          <w:b/>
          <w:bCs/>
          <w:color w:val="000000"/>
          <w:sz w:val="24"/>
          <w:szCs w:val="24"/>
        </w:rPr>
        <w:t>DIP. BENJAMÍN CARRERA CHÁVEZ.</w:t>
      </w:r>
    </w:p>
    <w:p w14:paraId="384F2C10" w14:textId="52D5CAB2" w:rsidR="00230B0A" w:rsidRDefault="00230B0A"/>
    <w:p w14:paraId="6ECDE31B" w14:textId="77777777" w:rsidR="00CB7E9B" w:rsidRDefault="00CB7E9B"/>
    <w:sectPr w:rsidR="00CB7E9B" w:rsidSect="006B5117">
      <w:headerReference w:type="default" r:id="rId9"/>
      <w:pgSz w:w="12240" w:h="15840"/>
      <w:pgMar w:top="311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CDAC" w14:textId="77777777" w:rsidR="001831FE" w:rsidRDefault="001831FE" w:rsidP="006B5117">
      <w:pPr>
        <w:spacing w:after="0" w:line="240" w:lineRule="auto"/>
      </w:pPr>
      <w:r>
        <w:separator/>
      </w:r>
    </w:p>
  </w:endnote>
  <w:endnote w:type="continuationSeparator" w:id="0">
    <w:p w14:paraId="5AC7C289" w14:textId="77777777" w:rsidR="001831FE" w:rsidRDefault="001831FE" w:rsidP="006B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w:altName w:val="Courier New"/>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0B70" w14:textId="77777777" w:rsidR="001831FE" w:rsidRDefault="001831FE" w:rsidP="006B5117">
      <w:pPr>
        <w:spacing w:after="0" w:line="240" w:lineRule="auto"/>
      </w:pPr>
      <w:r>
        <w:separator/>
      </w:r>
    </w:p>
  </w:footnote>
  <w:footnote w:type="continuationSeparator" w:id="0">
    <w:p w14:paraId="3E6C90E7" w14:textId="77777777" w:rsidR="001831FE" w:rsidRDefault="001831FE" w:rsidP="006B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2B71" w14:textId="475F596A" w:rsidR="006B5117" w:rsidRPr="005D69EC" w:rsidRDefault="006B5117" w:rsidP="006B5117">
    <w:pPr>
      <w:pStyle w:val="Encabezado"/>
      <w:jc w:val="right"/>
      <w:rPr>
        <w:rFonts w:ascii="Brush Script MT" w:eastAsia="Brush Script MT" w:hAnsi="Brush Script MT" w:cs="Brush Script MT"/>
        <w:sz w:val="28"/>
        <w:szCs w:val="28"/>
      </w:rPr>
    </w:pPr>
    <w:r w:rsidRPr="005D69EC">
      <w:rPr>
        <w:rFonts w:ascii="Brush Script MT" w:eastAsia="Brush Script MT" w:hAnsi="Brush Script MT" w:cs="Brush Script MT"/>
        <w:sz w:val="28"/>
        <w:szCs w:val="28"/>
      </w:rPr>
      <w:t>“2024, Año del Bicentenario de la Fundación del Estado de Chihuahua”</w:t>
    </w:r>
  </w:p>
  <w:p w14:paraId="04266858" w14:textId="77777777" w:rsidR="006B5117" w:rsidRPr="00F90BAA" w:rsidRDefault="006B5117" w:rsidP="006B5117">
    <w:pPr>
      <w:pStyle w:val="Encabezado"/>
      <w:jc w:val="right"/>
      <w:rPr>
        <w:rFonts w:ascii="Bradley Hand" w:hAnsi="Bradley Hand"/>
      </w:rPr>
    </w:pPr>
    <w:r>
      <w:rPr>
        <w:rFonts w:ascii="Bradley Hand" w:hAnsi="Bradley Hand"/>
        <w:noProof/>
      </w:rPr>
      <w:drawing>
        <wp:inline distT="0" distB="0" distL="0" distR="0" wp14:anchorId="50CD4445" wp14:editId="6DC0E833">
          <wp:extent cx="700405" cy="1340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4610" cy="152125"/>
                  </a:xfrm>
                  <a:prstGeom prst="rect">
                    <a:avLst/>
                  </a:prstGeom>
                </pic:spPr>
              </pic:pic>
            </a:graphicData>
          </a:graphic>
        </wp:inline>
      </w:drawing>
    </w:r>
  </w:p>
  <w:p w14:paraId="507DA6B9" w14:textId="77777777" w:rsidR="006B5117" w:rsidRPr="00DB1D51" w:rsidRDefault="006B5117" w:rsidP="006B5117">
    <w:pPr>
      <w:pStyle w:val="Encabezado"/>
    </w:pPr>
  </w:p>
  <w:p w14:paraId="7F71EE3B" w14:textId="77777777" w:rsidR="006B5117" w:rsidRDefault="006B5117" w:rsidP="006B5117">
    <w:pPr>
      <w:pStyle w:val="Encabezado"/>
    </w:pPr>
  </w:p>
  <w:p w14:paraId="523A1659" w14:textId="77777777" w:rsidR="006B5117" w:rsidRDefault="006B51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AB3"/>
    <w:multiLevelType w:val="multilevel"/>
    <w:tmpl w:val="30C4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A1089"/>
    <w:multiLevelType w:val="multilevel"/>
    <w:tmpl w:val="F860FD5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34857B0"/>
    <w:multiLevelType w:val="hybridMultilevel"/>
    <w:tmpl w:val="8916B670"/>
    <w:lvl w:ilvl="0" w:tplc="498A829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7"/>
    <w:rsid w:val="00101C2D"/>
    <w:rsid w:val="00106AA2"/>
    <w:rsid w:val="001831FE"/>
    <w:rsid w:val="001A4D93"/>
    <w:rsid w:val="001B033E"/>
    <w:rsid w:val="001B79BA"/>
    <w:rsid w:val="0021038C"/>
    <w:rsid w:val="00230B0A"/>
    <w:rsid w:val="00237C71"/>
    <w:rsid w:val="0027315E"/>
    <w:rsid w:val="00336344"/>
    <w:rsid w:val="003739B1"/>
    <w:rsid w:val="00423FD7"/>
    <w:rsid w:val="004253C2"/>
    <w:rsid w:val="004A229D"/>
    <w:rsid w:val="004C4E11"/>
    <w:rsid w:val="004E6ED2"/>
    <w:rsid w:val="00530765"/>
    <w:rsid w:val="005417DC"/>
    <w:rsid w:val="00583DB9"/>
    <w:rsid w:val="005B483A"/>
    <w:rsid w:val="005D69EC"/>
    <w:rsid w:val="00681669"/>
    <w:rsid w:val="006B5117"/>
    <w:rsid w:val="0071552D"/>
    <w:rsid w:val="00726F11"/>
    <w:rsid w:val="007711FA"/>
    <w:rsid w:val="00776402"/>
    <w:rsid w:val="007C6667"/>
    <w:rsid w:val="007D6624"/>
    <w:rsid w:val="00832547"/>
    <w:rsid w:val="008454B3"/>
    <w:rsid w:val="00886B34"/>
    <w:rsid w:val="009135DF"/>
    <w:rsid w:val="00986E18"/>
    <w:rsid w:val="00A0649F"/>
    <w:rsid w:val="00A337A5"/>
    <w:rsid w:val="00A64224"/>
    <w:rsid w:val="00AC253C"/>
    <w:rsid w:val="00AD5855"/>
    <w:rsid w:val="00AF5BCF"/>
    <w:rsid w:val="00CB7E9B"/>
    <w:rsid w:val="00CD4D9B"/>
    <w:rsid w:val="00D65356"/>
    <w:rsid w:val="00DF1714"/>
    <w:rsid w:val="00E97F93"/>
    <w:rsid w:val="00EE71AA"/>
    <w:rsid w:val="00F543A0"/>
    <w:rsid w:val="00F57876"/>
    <w:rsid w:val="00FE5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156F"/>
  <w15:chartTrackingRefBased/>
  <w15:docId w15:val="{B7053A81-3924-4B27-AC32-E070F7D3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1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117"/>
  </w:style>
  <w:style w:type="paragraph" w:styleId="Piedepgina">
    <w:name w:val="footer"/>
    <w:basedOn w:val="Normal"/>
    <w:link w:val="PiedepginaCar"/>
    <w:uiPriority w:val="99"/>
    <w:unhideWhenUsed/>
    <w:rsid w:val="006B51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117"/>
  </w:style>
  <w:style w:type="character" w:styleId="Textoennegrita">
    <w:name w:val="Strong"/>
    <w:basedOn w:val="Fuentedeprrafopredeter"/>
    <w:uiPriority w:val="22"/>
    <w:qFormat/>
    <w:rsid w:val="00681669"/>
    <w:rPr>
      <w:b/>
      <w:bCs/>
    </w:rPr>
  </w:style>
  <w:style w:type="character" w:customStyle="1" w:styleId="apple-converted-space">
    <w:name w:val="apple-converted-space"/>
    <w:basedOn w:val="Fuentedeprrafopredeter"/>
    <w:rsid w:val="00681669"/>
  </w:style>
  <w:style w:type="paragraph" w:styleId="NormalWeb">
    <w:name w:val="Normal (Web)"/>
    <w:basedOn w:val="Normal"/>
    <w:uiPriority w:val="99"/>
    <w:unhideWhenUsed/>
    <w:rsid w:val="005D69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5D69EC"/>
    <w:pPr>
      <w:spacing w:after="0" w:line="240" w:lineRule="auto"/>
    </w:pPr>
    <w:rPr>
      <w:rFonts w:ascii=".AppleSystemUIFont" w:eastAsia="Times New Roman" w:hAnsi=".AppleSystemUIFont" w:cs="Times New Roman"/>
      <w:sz w:val="29"/>
      <w:szCs w:val="29"/>
      <w:lang w:eastAsia="es-MX"/>
    </w:rPr>
  </w:style>
  <w:style w:type="character" w:customStyle="1" w:styleId="s1">
    <w:name w:val="s1"/>
    <w:basedOn w:val="Fuentedeprrafopredeter"/>
    <w:rsid w:val="005D69EC"/>
    <w:rPr>
      <w:rFonts w:ascii="UICTFontTextStyleBody" w:hAnsi="UICTFontTextStyleBody" w:hint="default"/>
      <w:b w:val="0"/>
      <w:bCs w:val="0"/>
      <w:i w:val="0"/>
      <w:iCs w:val="0"/>
      <w:sz w:val="29"/>
      <w:szCs w:val="29"/>
    </w:rPr>
  </w:style>
  <w:style w:type="paragraph" w:styleId="Prrafodelista">
    <w:name w:val="List Paragraph"/>
    <w:basedOn w:val="Normal"/>
    <w:uiPriority w:val="34"/>
    <w:qFormat/>
    <w:rsid w:val="005D6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138">
      <w:bodyDiv w:val="1"/>
      <w:marLeft w:val="0"/>
      <w:marRight w:val="0"/>
      <w:marTop w:val="0"/>
      <w:marBottom w:val="0"/>
      <w:divBdr>
        <w:top w:val="none" w:sz="0" w:space="0" w:color="auto"/>
        <w:left w:val="none" w:sz="0" w:space="0" w:color="auto"/>
        <w:bottom w:val="none" w:sz="0" w:space="0" w:color="auto"/>
        <w:right w:val="none" w:sz="0" w:space="0" w:color="auto"/>
      </w:divBdr>
      <w:divsChild>
        <w:div w:id="1889954383">
          <w:marLeft w:val="0"/>
          <w:marRight w:val="0"/>
          <w:marTop w:val="0"/>
          <w:marBottom w:val="0"/>
          <w:divBdr>
            <w:top w:val="none" w:sz="0" w:space="0" w:color="auto"/>
            <w:left w:val="none" w:sz="0" w:space="0" w:color="auto"/>
            <w:bottom w:val="none" w:sz="0" w:space="0" w:color="auto"/>
            <w:right w:val="none" w:sz="0" w:space="0" w:color="auto"/>
          </w:divBdr>
          <w:divsChild>
            <w:div w:id="2018845888">
              <w:marLeft w:val="0"/>
              <w:marRight w:val="0"/>
              <w:marTop w:val="0"/>
              <w:marBottom w:val="0"/>
              <w:divBdr>
                <w:top w:val="none" w:sz="0" w:space="0" w:color="auto"/>
                <w:left w:val="none" w:sz="0" w:space="0" w:color="auto"/>
                <w:bottom w:val="none" w:sz="0" w:space="0" w:color="auto"/>
                <w:right w:val="none" w:sz="0" w:space="0" w:color="auto"/>
              </w:divBdr>
              <w:divsChild>
                <w:div w:id="194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1536">
      <w:bodyDiv w:val="1"/>
      <w:marLeft w:val="0"/>
      <w:marRight w:val="0"/>
      <w:marTop w:val="0"/>
      <w:marBottom w:val="0"/>
      <w:divBdr>
        <w:top w:val="none" w:sz="0" w:space="0" w:color="auto"/>
        <w:left w:val="none" w:sz="0" w:space="0" w:color="auto"/>
        <w:bottom w:val="none" w:sz="0" w:space="0" w:color="auto"/>
        <w:right w:val="none" w:sz="0" w:space="0" w:color="auto"/>
      </w:divBdr>
      <w:divsChild>
        <w:div w:id="181210958">
          <w:marLeft w:val="0"/>
          <w:marRight w:val="0"/>
          <w:marTop w:val="0"/>
          <w:marBottom w:val="0"/>
          <w:divBdr>
            <w:top w:val="none" w:sz="0" w:space="0" w:color="auto"/>
            <w:left w:val="none" w:sz="0" w:space="0" w:color="auto"/>
            <w:bottom w:val="none" w:sz="0" w:space="0" w:color="auto"/>
            <w:right w:val="none" w:sz="0" w:space="0" w:color="auto"/>
          </w:divBdr>
          <w:divsChild>
            <w:div w:id="1820031502">
              <w:marLeft w:val="0"/>
              <w:marRight w:val="0"/>
              <w:marTop w:val="0"/>
              <w:marBottom w:val="0"/>
              <w:divBdr>
                <w:top w:val="none" w:sz="0" w:space="0" w:color="auto"/>
                <w:left w:val="none" w:sz="0" w:space="0" w:color="auto"/>
                <w:bottom w:val="none" w:sz="0" w:space="0" w:color="auto"/>
                <w:right w:val="none" w:sz="0" w:space="0" w:color="auto"/>
              </w:divBdr>
              <w:divsChild>
                <w:div w:id="21053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5075">
      <w:bodyDiv w:val="1"/>
      <w:marLeft w:val="0"/>
      <w:marRight w:val="0"/>
      <w:marTop w:val="0"/>
      <w:marBottom w:val="0"/>
      <w:divBdr>
        <w:top w:val="none" w:sz="0" w:space="0" w:color="auto"/>
        <w:left w:val="none" w:sz="0" w:space="0" w:color="auto"/>
        <w:bottom w:val="none" w:sz="0" w:space="0" w:color="auto"/>
        <w:right w:val="none" w:sz="0" w:space="0" w:color="auto"/>
      </w:divBdr>
      <w:divsChild>
        <w:div w:id="207184224">
          <w:marLeft w:val="0"/>
          <w:marRight w:val="0"/>
          <w:marTop w:val="0"/>
          <w:marBottom w:val="0"/>
          <w:divBdr>
            <w:top w:val="none" w:sz="0" w:space="0" w:color="auto"/>
            <w:left w:val="none" w:sz="0" w:space="0" w:color="auto"/>
            <w:bottom w:val="none" w:sz="0" w:space="0" w:color="auto"/>
            <w:right w:val="none" w:sz="0" w:space="0" w:color="auto"/>
          </w:divBdr>
          <w:divsChild>
            <w:div w:id="1415472742">
              <w:marLeft w:val="0"/>
              <w:marRight w:val="0"/>
              <w:marTop w:val="0"/>
              <w:marBottom w:val="0"/>
              <w:divBdr>
                <w:top w:val="none" w:sz="0" w:space="0" w:color="auto"/>
                <w:left w:val="none" w:sz="0" w:space="0" w:color="auto"/>
                <w:bottom w:val="none" w:sz="0" w:space="0" w:color="auto"/>
                <w:right w:val="none" w:sz="0" w:space="0" w:color="auto"/>
              </w:divBdr>
              <w:divsChild>
                <w:div w:id="614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4095">
      <w:bodyDiv w:val="1"/>
      <w:marLeft w:val="0"/>
      <w:marRight w:val="0"/>
      <w:marTop w:val="0"/>
      <w:marBottom w:val="0"/>
      <w:divBdr>
        <w:top w:val="none" w:sz="0" w:space="0" w:color="auto"/>
        <w:left w:val="none" w:sz="0" w:space="0" w:color="auto"/>
        <w:bottom w:val="none" w:sz="0" w:space="0" w:color="auto"/>
        <w:right w:val="none" w:sz="0" w:space="0" w:color="auto"/>
      </w:divBdr>
      <w:divsChild>
        <w:div w:id="298456674">
          <w:marLeft w:val="0"/>
          <w:marRight w:val="0"/>
          <w:marTop w:val="0"/>
          <w:marBottom w:val="0"/>
          <w:divBdr>
            <w:top w:val="none" w:sz="0" w:space="0" w:color="auto"/>
            <w:left w:val="none" w:sz="0" w:space="0" w:color="auto"/>
            <w:bottom w:val="none" w:sz="0" w:space="0" w:color="auto"/>
            <w:right w:val="none" w:sz="0" w:space="0" w:color="auto"/>
          </w:divBdr>
          <w:divsChild>
            <w:div w:id="1022782078">
              <w:marLeft w:val="0"/>
              <w:marRight w:val="0"/>
              <w:marTop w:val="0"/>
              <w:marBottom w:val="0"/>
              <w:divBdr>
                <w:top w:val="none" w:sz="0" w:space="0" w:color="auto"/>
                <w:left w:val="none" w:sz="0" w:space="0" w:color="auto"/>
                <w:bottom w:val="none" w:sz="0" w:space="0" w:color="auto"/>
                <w:right w:val="none" w:sz="0" w:space="0" w:color="auto"/>
              </w:divBdr>
              <w:divsChild>
                <w:div w:id="2453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7137">
      <w:bodyDiv w:val="1"/>
      <w:marLeft w:val="0"/>
      <w:marRight w:val="0"/>
      <w:marTop w:val="0"/>
      <w:marBottom w:val="0"/>
      <w:divBdr>
        <w:top w:val="none" w:sz="0" w:space="0" w:color="auto"/>
        <w:left w:val="none" w:sz="0" w:space="0" w:color="auto"/>
        <w:bottom w:val="none" w:sz="0" w:space="0" w:color="auto"/>
        <w:right w:val="none" w:sz="0" w:space="0" w:color="auto"/>
      </w:divBdr>
      <w:divsChild>
        <w:div w:id="98256830">
          <w:marLeft w:val="0"/>
          <w:marRight w:val="0"/>
          <w:marTop w:val="0"/>
          <w:marBottom w:val="0"/>
          <w:divBdr>
            <w:top w:val="none" w:sz="0" w:space="0" w:color="auto"/>
            <w:left w:val="none" w:sz="0" w:space="0" w:color="auto"/>
            <w:bottom w:val="none" w:sz="0" w:space="0" w:color="auto"/>
            <w:right w:val="none" w:sz="0" w:space="0" w:color="auto"/>
          </w:divBdr>
          <w:divsChild>
            <w:div w:id="1571380711">
              <w:marLeft w:val="0"/>
              <w:marRight w:val="0"/>
              <w:marTop w:val="0"/>
              <w:marBottom w:val="0"/>
              <w:divBdr>
                <w:top w:val="none" w:sz="0" w:space="0" w:color="auto"/>
                <w:left w:val="none" w:sz="0" w:space="0" w:color="auto"/>
                <w:bottom w:val="none" w:sz="0" w:space="0" w:color="auto"/>
                <w:right w:val="none" w:sz="0" w:space="0" w:color="auto"/>
              </w:divBdr>
              <w:divsChild>
                <w:div w:id="99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9458">
      <w:bodyDiv w:val="1"/>
      <w:marLeft w:val="0"/>
      <w:marRight w:val="0"/>
      <w:marTop w:val="0"/>
      <w:marBottom w:val="0"/>
      <w:divBdr>
        <w:top w:val="none" w:sz="0" w:space="0" w:color="auto"/>
        <w:left w:val="none" w:sz="0" w:space="0" w:color="auto"/>
        <w:bottom w:val="none" w:sz="0" w:space="0" w:color="auto"/>
        <w:right w:val="none" w:sz="0" w:space="0" w:color="auto"/>
      </w:divBdr>
    </w:div>
    <w:div w:id="1839274055">
      <w:bodyDiv w:val="1"/>
      <w:marLeft w:val="0"/>
      <w:marRight w:val="0"/>
      <w:marTop w:val="0"/>
      <w:marBottom w:val="0"/>
      <w:divBdr>
        <w:top w:val="none" w:sz="0" w:space="0" w:color="auto"/>
        <w:left w:val="none" w:sz="0" w:space="0" w:color="auto"/>
        <w:bottom w:val="none" w:sz="0" w:space="0" w:color="auto"/>
        <w:right w:val="none" w:sz="0" w:space="0" w:color="auto"/>
      </w:divBdr>
      <w:divsChild>
        <w:div w:id="1966501986">
          <w:marLeft w:val="0"/>
          <w:marRight w:val="0"/>
          <w:marTop w:val="0"/>
          <w:marBottom w:val="0"/>
          <w:divBdr>
            <w:top w:val="none" w:sz="0" w:space="0" w:color="auto"/>
            <w:left w:val="none" w:sz="0" w:space="0" w:color="auto"/>
            <w:bottom w:val="none" w:sz="0" w:space="0" w:color="auto"/>
            <w:right w:val="none" w:sz="0" w:space="0" w:color="auto"/>
          </w:divBdr>
          <w:divsChild>
            <w:div w:id="1140926540">
              <w:marLeft w:val="0"/>
              <w:marRight w:val="0"/>
              <w:marTop w:val="0"/>
              <w:marBottom w:val="0"/>
              <w:divBdr>
                <w:top w:val="none" w:sz="0" w:space="0" w:color="auto"/>
                <w:left w:val="none" w:sz="0" w:space="0" w:color="auto"/>
                <w:bottom w:val="none" w:sz="0" w:space="0" w:color="auto"/>
                <w:right w:val="none" w:sz="0" w:space="0" w:color="auto"/>
              </w:divBdr>
              <w:divsChild>
                <w:div w:id="1724137431">
                  <w:marLeft w:val="0"/>
                  <w:marRight w:val="0"/>
                  <w:marTop w:val="0"/>
                  <w:marBottom w:val="0"/>
                  <w:divBdr>
                    <w:top w:val="none" w:sz="0" w:space="0" w:color="auto"/>
                    <w:left w:val="none" w:sz="0" w:space="0" w:color="auto"/>
                    <w:bottom w:val="none" w:sz="0" w:space="0" w:color="auto"/>
                    <w:right w:val="none" w:sz="0" w:space="0" w:color="auto"/>
                  </w:divBdr>
                  <w:divsChild>
                    <w:div w:id="6256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106">
          <w:marLeft w:val="0"/>
          <w:marRight w:val="0"/>
          <w:marTop w:val="0"/>
          <w:marBottom w:val="0"/>
          <w:divBdr>
            <w:top w:val="none" w:sz="0" w:space="0" w:color="auto"/>
            <w:left w:val="none" w:sz="0" w:space="0" w:color="auto"/>
            <w:bottom w:val="none" w:sz="0" w:space="0" w:color="auto"/>
            <w:right w:val="none" w:sz="0" w:space="0" w:color="auto"/>
          </w:divBdr>
          <w:divsChild>
            <w:div w:id="1065489657">
              <w:marLeft w:val="0"/>
              <w:marRight w:val="0"/>
              <w:marTop w:val="0"/>
              <w:marBottom w:val="0"/>
              <w:divBdr>
                <w:top w:val="none" w:sz="0" w:space="0" w:color="auto"/>
                <w:left w:val="none" w:sz="0" w:space="0" w:color="auto"/>
                <w:bottom w:val="none" w:sz="0" w:space="0" w:color="auto"/>
                <w:right w:val="none" w:sz="0" w:space="0" w:color="auto"/>
              </w:divBdr>
              <w:divsChild>
                <w:div w:id="1474785294">
                  <w:marLeft w:val="0"/>
                  <w:marRight w:val="0"/>
                  <w:marTop w:val="0"/>
                  <w:marBottom w:val="0"/>
                  <w:divBdr>
                    <w:top w:val="none" w:sz="0" w:space="0" w:color="auto"/>
                    <w:left w:val="none" w:sz="0" w:space="0" w:color="auto"/>
                    <w:bottom w:val="none" w:sz="0" w:space="0" w:color="auto"/>
                    <w:right w:val="none" w:sz="0" w:space="0" w:color="auto"/>
                  </w:divBdr>
                  <w:divsChild>
                    <w:div w:id="249656474">
                      <w:marLeft w:val="0"/>
                      <w:marRight w:val="0"/>
                      <w:marTop w:val="0"/>
                      <w:marBottom w:val="0"/>
                      <w:divBdr>
                        <w:top w:val="none" w:sz="0" w:space="0" w:color="auto"/>
                        <w:left w:val="none" w:sz="0" w:space="0" w:color="auto"/>
                        <w:bottom w:val="none" w:sz="0" w:space="0" w:color="auto"/>
                        <w:right w:val="none" w:sz="0" w:space="0" w:color="auto"/>
                      </w:divBdr>
                    </w:div>
                  </w:divsChild>
                </w:div>
                <w:div w:id="564337941">
                  <w:marLeft w:val="0"/>
                  <w:marRight w:val="0"/>
                  <w:marTop w:val="0"/>
                  <w:marBottom w:val="0"/>
                  <w:divBdr>
                    <w:top w:val="none" w:sz="0" w:space="0" w:color="auto"/>
                    <w:left w:val="none" w:sz="0" w:space="0" w:color="auto"/>
                    <w:bottom w:val="none" w:sz="0" w:space="0" w:color="auto"/>
                    <w:right w:val="none" w:sz="0" w:space="0" w:color="auto"/>
                  </w:divBdr>
                  <w:divsChild>
                    <w:div w:id="950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3286">
      <w:bodyDiv w:val="1"/>
      <w:marLeft w:val="0"/>
      <w:marRight w:val="0"/>
      <w:marTop w:val="0"/>
      <w:marBottom w:val="0"/>
      <w:divBdr>
        <w:top w:val="none" w:sz="0" w:space="0" w:color="auto"/>
        <w:left w:val="none" w:sz="0" w:space="0" w:color="auto"/>
        <w:bottom w:val="none" w:sz="0" w:space="0" w:color="auto"/>
        <w:right w:val="none" w:sz="0" w:space="0" w:color="auto"/>
      </w:divBdr>
    </w:div>
    <w:div w:id="1950434335">
      <w:bodyDiv w:val="1"/>
      <w:marLeft w:val="0"/>
      <w:marRight w:val="0"/>
      <w:marTop w:val="0"/>
      <w:marBottom w:val="0"/>
      <w:divBdr>
        <w:top w:val="none" w:sz="0" w:space="0" w:color="auto"/>
        <w:left w:val="none" w:sz="0" w:space="0" w:color="auto"/>
        <w:bottom w:val="none" w:sz="0" w:space="0" w:color="auto"/>
        <w:right w:val="none" w:sz="0" w:space="0" w:color="auto"/>
      </w:divBdr>
      <w:divsChild>
        <w:div w:id="867596283">
          <w:marLeft w:val="0"/>
          <w:marRight w:val="0"/>
          <w:marTop w:val="0"/>
          <w:marBottom w:val="0"/>
          <w:divBdr>
            <w:top w:val="none" w:sz="0" w:space="0" w:color="auto"/>
            <w:left w:val="none" w:sz="0" w:space="0" w:color="auto"/>
            <w:bottom w:val="none" w:sz="0" w:space="0" w:color="auto"/>
            <w:right w:val="none" w:sz="0" w:space="0" w:color="auto"/>
          </w:divBdr>
          <w:divsChild>
            <w:div w:id="882131787">
              <w:marLeft w:val="0"/>
              <w:marRight w:val="0"/>
              <w:marTop w:val="0"/>
              <w:marBottom w:val="0"/>
              <w:divBdr>
                <w:top w:val="none" w:sz="0" w:space="0" w:color="auto"/>
                <w:left w:val="none" w:sz="0" w:space="0" w:color="auto"/>
                <w:bottom w:val="none" w:sz="0" w:space="0" w:color="auto"/>
                <w:right w:val="none" w:sz="0" w:space="0" w:color="auto"/>
              </w:divBdr>
              <w:divsChild>
                <w:div w:id="7342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AC9C-4DC4-41C5-9EFB-9858697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cp:lastPrinted>2024-08-09T18:28:00Z</cp:lastPrinted>
  <dcterms:created xsi:type="dcterms:W3CDTF">2024-08-09T20:13:00Z</dcterms:created>
  <dcterms:modified xsi:type="dcterms:W3CDTF">2024-08-09T20:13:00Z</dcterms:modified>
</cp:coreProperties>
</file>