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10718" w14:textId="77777777" w:rsidR="00D14AD9" w:rsidRDefault="00D14AD9">
      <w:pPr>
        <w:rPr>
          <w:rFonts w:ascii="Century Gothic" w:eastAsia="Century Gothic" w:hAnsi="Century Gothic" w:cs="Century Gothic"/>
          <w:b/>
          <w:sz w:val="24"/>
          <w:szCs w:val="24"/>
        </w:rPr>
      </w:pPr>
    </w:p>
    <w:p w14:paraId="1949F64B" w14:textId="77777777" w:rsidR="00D14AD9" w:rsidRDefault="00D14AD9">
      <w:pPr>
        <w:rPr>
          <w:rFonts w:ascii="Century Gothic" w:eastAsia="Century Gothic" w:hAnsi="Century Gothic" w:cs="Century Gothic"/>
          <w:b/>
          <w:sz w:val="24"/>
          <w:szCs w:val="24"/>
        </w:rPr>
      </w:pPr>
    </w:p>
    <w:p w14:paraId="457A552A" w14:textId="77777777" w:rsidR="00D14AD9" w:rsidRDefault="00D14AD9">
      <w:pPr>
        <w:rPr>
          <w:rFonts w:ascii="Century Gothic" w:eastAsia="Century Gothic" w:hAnsi="Century Gothic" w:cs="Century Gothic"/>
          <w:b/>
          <w:sz w:val="24"/>
          <w:szCs w:val="24"/>
        </w:rPr>
      </w:pPr>
    </w:p>
    <w:p w14:paraId="012215C3" w14:textId="77777777" w:rsidR="00D14AD9" w:rsidRDefault="00D14AD9">
      <w:pPr>
        <w:rPr>
          <w:rFonts w:ascii="Century Gothic" w:eastAsia="Century Gothic" w:hAnsi="Century Gothic" w:cs="Century Gothic"/>
          <w:b/>
          <w:sz w:val="24"/>
          <w:szCs w:val="24"/>
        </w:rPr>
      </w:pPr>
    </w:p>
    <w:p w14:paraId="13A983BA" w14:textId="77777777" w:rsidR="00D14AD9" w:rsidRDefault="00D14AD9">
      <w:pPr>
        <w:rPr>
          <w:rFonts w:ascii="Century Gothic" w:eastAsia="Century Gothic" w:hAnsi="Century Gothic" w:cs="Century Gothic"/>
          <w:b/>
          <w:sz w:val="24"/>
          <w:szCs w:val="24"/>
        </w:rPr>
      </w:pPr>
    </w:p>
    <w:p w14:paraId="692F3EA6" w14:textId="77777777" w:rsidR="00D14AD9" w:rsidRDefault="007F3028">
      <w:pPr>
        <w:rPr>
          <w:rFonts w:ascii="Century Gothic" w:eastAsia="Century Gothic" w:hAnsi="Century Gothic" w:cs="Century Gothic"/>
          <w:b/>
          <w:sz w:val="24"/>
          <w:szCs w:val="24"/>
        </w:rPr>
      </w:pPr>
      <w:r>
        <w:rPr>
          <w:rFonts w:ascii="Century Gothic" w:eastAsia="Century Gothic" w:hAnsi="Century Gothic" w:cs="Century Gothic"/>
          <w:b/>
          <w:sz w:val="24"/>
          <w:szCs w:val="24"/>
        </w:rPr>
        <w:t>H. CONGRESO DEL ESTADO DE CHIHUAHUA</w:t>
      </w:r>
    </w:p>
    <w:p w14:paraId="548367F8" w14:textId="77777777" w:rsidR="00D14AD9" w:rsidRDefault="007F3028">
      <w:pPr>
        <w:rPr>
          <w:rFonts w:ascii="Century Gothic" w:eastAsia="Century Gothic" w:hAnsi="Century Gothic" w:cs="Century Gothic"/>
          <w:b/>
          <w:sz w:val="24"/>
          <w:szCs w:val="24"/>
        </w:rPr>
      </w:pPr>
      <w:r>
        <w:rPr>
          <w:rFonts w:ascii="Century Gothic" w:eastAsia="Century Gothic" w:hAnsi="Century Gothic" w:cs="Century Gothic"/>
          <w:b/>
          <w:sz w:val="24"/>
          <w:szCs w:val="24"/>
        </w:rPr>
        <w:t>P R E S E N T E.-</w:t>
      </w:r>
    </w:p>
    <w:p w14:paraId="5038686A" w14:textId="77777777" w:rsidR="00D14AD9" w:rsidRDefault="00D14AD9">
      <w:pPr>
        <w:rPr>
          <w:rFonts w:ascii="Century Gothic" w:eastAsia="Century Gothic" w:hAnsi="Century Gothic" w:cs="Century Gothic"/>
          <w:sz w:val="24"/>
          <w:szCs w:val="24"/>
        </w:rPr>
      </w:pPr>
    </w:p>
    <w:p w14:paraId="1F0A83C0" w14:textId="77777777" w:rsidR="00D14AD9" w:rsidRDefault="007F3028">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Quienes suscribimos, Magdalena Renteria Perez (la de la voz) </w:t>
      </w:r>
      <w:r>
        <w:rPr>
          <w:b/>
          <w:sz w:val="24"/>
          <w:szCs w:val="24"/>
        </w:rPr>
        <w:t>Elizabeth Guzmán Argueta, María Antonieta Pérez Reyes, Leticia Ortega Máynez,Rosana Díaz Reyes, Óscar Daniel Avitia Arellanes, Brenda Francisca Ríos Prieto, Edith Palma Ontiveros, Herminia Gómez Carrasco, Jael Argüelles Díaz, Pedro Torres Estrada y Edin Cuauhtémoc Estrada Sotelo</w:t>
      </w:r>
      <w:r>
        <w:rPr>
          <w:rFonts w:ascii="Century Gothic" w:eastAsia="Century Gothic" w:hAnsi="Century Gothic" w:cs="Century Gothic"/>
          <w:sz w:val="24"/>
          <w:szCs w:val="24"/>
        </w:rPr>
        <w:t xml:space="preserve"> en nuestro carácter de diputados de la Sexagesima Octava Legislatura e integrantes del grupo parlamentario de Morena, con fundamento por lo dispuesto en el artículo 71 Fracción III de la Constitución Política de los Estados Unidos Mexicanos, así como de los artículos  64, fracción III y 68 fracción I de la Constitución Política del Estado Libre y Soberano de Chihuahua, los artículos 167 fracción I y 170  de la Ley Orgánica del Poder Legislativo, así como de los artículos 75 y 76 del Reglamento Interior y de Prácticas Parlamentarias del Poder Legislativo, todos estos Ordenamientos del Estado de Chihuahua, acudimos ante esta asamblea legislativa para presentar:</w:t>
      </w:r>
      <w:r>
        <w:rPr>
          <w:rFonts w:ascii="Century Gothic" w:eastAsia="Century Gothic" w:hAnsi="Century Gothic" w:cs="Century Gothic"/>
          <w:b/>
          <w:sz w:val="24"/>
          <w:szCs w:val="24"/>
        </w:rPr>
        <w:t xml:space="preserve"> Iniciativa con carácter de decreto ante el H. Congreso de la Unión a efecto de adicionar un artículo 64 quater a la ley general de responsabilidades administrativas para que se considere como falta grave la omisión de cuidados en el supuesto de servidores públicos que se encarguen de la tutela de Niñas, Niños y Adolescentes</w:t>
      </w: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 xml:space="preserve">así como adultos mayores, </w:t>
      </w:r>
      <w:r>
        <w:rPr>
          <w:rFonts w:ascii="Century Gothic" w:eastAsia="Century Gothic" w:hAnsi="Century Gothic" w:cs="Century Gothic"/>
          <w:sz w:val="24"/>
          <w:szCs w:val="24"/>
        </w:rPr>
        <w:t>lo anterior bajo el sustento de la siguiente:</w:t>
      </w:r>
    </w:p>
    <w:p w14:paraId="716D1D09" w14:textId="77777777" w:rsidR="00D14AD9" w:rsidRDefault="00D14AD9">
      <w:pPr>
        <w:jc w:val="both"/>
        <w:rPr>
          <w:rFonts w:ascii="Century Gothic" w:eastAsia="Century Gothic" w:hAnsi="Century Gothic" w:cs="Century Gothic"/>
          <w:sz w:val="24"/>
          <w:szCs w:val="24"/>
        </w:rPr>
      </w:pPr>
    </w:p>
    <w:p w14:paraId="01FFDCA2" w14:textId="77777777" w:rsidR="00D14AD9" w:rsidRDefault="00D14AD9">
      <w:pPr>
        <w:jc w:val="center"/>
        <w:rPr>
          <w:rFonts w:ascii="Century Gothic" w:eastAsia="Century Gothic" w:hAnsi="Century Gothic" w:cs="Century Gothic"/>
          <w:b/>
          <w:sz w:val="24"/>
          <w:szCs w:val="24"/>
        </w:rPr>
      </w:pPr>
    </w:p>
    <w:p w14:paraId="4FBFD7CA" w14:textId="77777777" w:rsidR="00D14AD9" w:rsidRDefault="007F3028">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EXPOSICIÓN DE MOTIVOS</w:t>
      </w:r>
    </w:p>
    <w:p w14:paraId="0DC64F48" w14:textId="77777777" w:rsidR="00D14AD9" w:rsidRDefault="00D14AD9">
      <w:pPr>
        <w:jc w:val="both"/>
        <w:rPr>
          <w:rFonts w:ascii="Century Gothic" w:eastAsia="Century Gothic" w:hAnsi="Century Gothic" w:cs="Century Gothic"/>
          <w:sz w:val="24"/>
          <w:szCs w:val="24"/>
        </w:rPr>
      </w:pPr>
    </w:p>
    <w:p w14:paraId="0BDC410B" w14:textId="77777777" w:rsidR="00D14AD9" w:rsidRDefault="00D14AD9">
      <w:pPr>
        <w:jc w:val="both"/>
        <w:rPr>
          <w:rFonts w:ascii="Century Gothic" w:eastAsia="Century Gothic" w:hAnsi="Century Gothic" w:cs="Century Gothic"/>
          <w:sz w:val="24"/>
          <w:szCs w:val="24"/>
        </w:rPr>
      </w:pPr>
    </w:p>
    <w:p w14:paraId="1BB80C34" w14:textId="77777777" w:rsidR="00D14AD9" w:rsidRDefault="007F3028">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Las niñas y los niños son un pilar fundamental de nuestra sociedad, ya que son quienes nos sucederán en un futuro y por esa razón es que el respeto a sus derechos es uno de los más protegidos por nuestras leyes.</w:t>
      </w:r>
    </w:p>
    <w:p w14:paraId="7EB8EC1F" w14:textId="77777777" w:rsidR="00D14AD9" w:rsidRDefault="00D14AD9">
      <w:pPr>
        <w:jc w:val="both"/>
        <w:rPr>
          <w:rFonts w:ascii="Century Gothic" w:eastAsia="Century Gothic" w:hAnsi="Century Gothic" w:cs="Century Gothic"/>
          <w:sz w:val="24"/>
          <w:szCs w:val="24"/>
        </w:rPr>
      </w:pPr>
    </w:p>
    <w:p w14:paraId="17475B2C" w14:textId="77777777" w:rsidR="00D14AD9" w:rsidRDefault="007F3028">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una realidad evidente que en ciertas ocasiones por distintos infortunios de la vida, hay personas que lamentablemente se quedan sin la tutela de una madre y un padre, derivado de esa situación y por tratarse de ser un derecho fundamental el de tener una tutela en la niñez, es que en estos casos quedan </w:t>
      </w:r>
      <w:r>
        <w:rPr>
          <w:rFonts w:ascii="Century Gothic" w:eastAsia="Century Gothic" w:hAnsi="Century Gothic" w:cs="Century Gothic"/>
          <w:sz w:val="24"/>
          <w:szCs w:val="24"/>
        </w:rPr>
        <w:lastRenderedPageBreak/>
        <w:t xml:space="preserve">a cargo del Estado quien tiene la obligación de </w:t>
      </w:r>
      <w:proofErr w:type="gramStart"/>
      <w:r>
        <w:rPr>
          <w:rFonts w:ascii="Century Gothic" w:eastAsia="Century Gothic" w:hAnsi="Century Gothic" w:cs="Century Gothic"/>
          <w:sz w:val="24"/>
          <w:szCs w:val="24"/>
        </w:rPr>
        <w:t>brindarles  las</w:t>
      </w:r>
      <w:proofErr w:type="gramEnd"/>
      <w:r>
        <w:rPr>
          <w:rFonts w:ascii="Century Gothic" w:eastAsia="Century Gothic" w:hAnsi="Century Gothic" w:cs="Century Gothic"/>
          <w:sz w:val="24"/>
          <w:szCs w:val="24"/>
        </w:rPr>
        <w:t xml:space="preserve"> condiciones de una vida digna.</w:t>
      </w:r>
    </w:p>
    <w:p w14:paraId="27816ED8" w14:textId="77777777" w:rsidR="00D14AD9" w:rsidRDefault="00D14AD9">
      <w:pPr>
        <w:jc w:val="both"/>
        <w:rPr>
          <w:rFonts w:ascii="Century Gothic" w:eastAsia="Century Gothic" w:hAnsi="Century Gothic" w:cs="Century Gothic"/>
          <w:sz w:val="24"/>
          <w:szCs w:val="24"/>
        </w:rPr>
      </w:pPr>
    </w:p>
    <w:p w14:paraId="2B860F5D" w14:textId="77777777" w:rsidR="00D14AD9" w:rsidRDefault="007F3028">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Dentro del mismo supuesto nos encontramos con otros grupos vulnerables susceptibles de recaer en la misma situación, tales como los adultos mayores y personas incapaces de valerse por sí mismas, donde el Estado es quien se encarga de su tutela.</w:t>
      </w:r>
    </w:p>
    <w:p w14:paraId="510833C8" w14:textId="77777777" w:rsidR="00D14AD9" w:rsidRDefault="00D14AD9">
      <w:pPr>
        <w:jc w:val="both"/>
        <w:rPr>
          <w:rFonts w:ascii="Century Gothic" w:eastAsia="Century Gothic" w:hAnsi="Century Gothic" w:cs="Century Gothic"/>
          <w:sz w:val="24"/>
          <w:szCs w:val="24"/>
        </w:rPr>
      </w:pPr>
    </w:p>
    <w:p w14:paraId="42B7670F" w14:textId="77777777" w:rsidR="00D14AD9" w:rsidRDefault="007F3028">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Como todo en la Administración Pública, existen diferentes instituciones de la administración pública </w:t>
      </w:r>
      <w:proofErr w:type="gramStart"/>
      <w:r>
        <w:rPr>
          <w:rFonts w:ascii="Century Gothic" w:eastAsia="Century Gothic" w:hAnsi="Century Gothic" w:cs="Century Gothic"/>
          <w:sz w:val="24"/>
          <w:szCs w:val="24"/>
        </w:rPr>
        <w:t>que  se</w:t>
      </w:r>
      <w:proofErr w:type="gramEnd"/>
      <w:r>
        <w:rPr>
          <w:rFonts w:ascii="Century Gothic" w:eastAsia="Century Gothic" w:hAnsi="Century Gothic" w:cs="Century Gothic"/>
          <w:sz w:val="24"/>
          <w:szCs w:val="24"/>
        </w:rPr>
        <w:t xml:space="preserve"> encuentran bajo el cargo de un organigrama de servidores públicos que cumplen con distintas funciones para asegurar una tutela efectiva a los menores sin hogar.</w:t>
      </w:r>
    </w:p>
    <w:p w14:paraId="10F97767" w14:textId="77777777" w:rsidR="00D14AD9" w:rsidRDefault="00D14AD9">
      <w:pPr>
        <w:jc w:val="both"/>
        <w:rPr>
          <w:rFonts w:ascii="Century Gothic" w:eastAsia="Century Gothic" w:hAnsi="Century Gothic" w:cs="Century Gothic"/>
          <w:sz w:val="24"/>
          <w:szCs w:val="24"/>
        </w:rPr>
      </w:pPr>
    </w:p>
    <w:p w14:paraId="4D6672CC" w14:textId="77777777" w:rsidR="00D14AD9" w:rsidRDefault="007F3028">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Partiendo de ese orden de ideas y en el tenor de tratarse de derechos humanos fundamentales, es que debemos robustecer nuestra ley para evitar posibles violaciones a los derechos de los Niños, Niñas y Adolescentes.</w:t>
      </w:r>
    </w:p>
    <w:p w14:paraId="6E4EE7C7" w14:textId="77777777" w:rsidR="00D14AD9" w:rsidRDefault="00D14AD9">
      <w:pPr>
        <w:jc w:val="both"/>
        <w:rPr>
          <w:rFonts w:ascii="Century Gothic" w:eastAsia="Century Gothic" w:hAnsi="Century Gothic" w:cs="Century Gothic"/>
          <w:sz w:val="24"/>
          <w:szCs w:val="24"/>
        </w:rPr>
      </w:pPr>
    </w:p>
    <w:p w14:paraId="641EBE2B" w14:textId="77777777" w:rsidR="00D14AD9" w:rsidRDefault="007F3028">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Lo anterior, sin amedrentar a ninguna institución que se encargue de </w:t>
      </w:r>
      <w:proofErr w:type="gramStart"/>
      <w:r>
        <w:rPr>
          <w:rFonts w:ascii="Century Gothic" w:eastAsia="Century Gothic" w:hAnsi="Century Gothic" w:cs="Century Gothic"/>
          <w:sz w:val="24"/>
          <w:szCs w:val="24"/>
        </w:rPr>
        <w:t>tutelar personas</w:t>
      </w:r>
      <w:proofErr w:type="gramEnd"/>
      <w:r>
        <w:rPr>
          <w:rFonts w:ascii="Century Gothic" w:eastAsia="Century Gothic" w:hAnsi="Century Gothic" w:cs="Century Gothic"/>
          <w:sz w:val="24"/>
          <w:szCs w:val="24"/>
        </w:rPr>
        <w:t>, eso en el entendido de que las personas que cumplen con la prestación de dicho servicio son personas preparadas y que requieren de ciertos conocimientos específicos y en la mayoría de ocasiones cumplen de manera excelente con su trabajo.</w:t>
      </w:r>
    </w:p>
    <w:p w14:paraId="0A7261A6" w14:textId="77777777" w:rsidR="00D14AD9" w:rsidRDefault="00D14AD9">
      <w:pPr>
        <w:jc w:val="both"/>
        <w:rPr>
          <w:rFonts w:ascii="Century Gothic" w:eastAsia="Century Gothic" w:hAnsi="Century Gothic" w:cs="Century Gothic"/>
          <w:sz w:val="24"/>
          <w:szCs w:val="24"/>
        </w:rPr>
      </w:pPr>
    </w:p>
    <w:p w14:paraId="6118D19A" w14:textId="77777777" w:rsidR="00D14AD9" w:rsidRDefault="007F3028">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Así mismo, si bien es cierto que dicha conducta si se encuentra tipificada en el Código Penal de nuestro Estado en su artículo 154, segundo párrafo, que a la letra dice: </w:t>
      </w:r>
    </w:p>
    <w:p w14:paraId="102DF8E9" w14:textId="77777777" w:rsidR="00D14AD9" w:rsidRDefault="007F3028">
      <w:pPr>
        <w:jc w:val="both"/>
        <w:rPr>
          <w:rFonts w:ascii="Century Gothic" w:eastAsia="Century Gothic" w:hAnsi="Century Gothic" w:cs="Century Gothic"/>
          <w:i/>
          <w:sz w:val="24"/>
          <w:szCs w:val="24"/>
        </w:rPr>
      </w:pPr>
      <w:r>
        <w:rPr>
          <w:rFonts w:ascii="Century Gothic" w:eastAsia="Century Gothic" w:hAnsi="Century Gothic" w:cs="Century Gothic"/>
          <w:i/>
          <w:sz w:val="24"/>
          <w:szCs w:val="24"/>
        </w:rPr>
        <w:t xml:space="preserve">“A quien realice la conducta descrita en el párrafo anterior, </w:t>
      </w:r>
      <w:r>
        <w:rPr>
          <w:rFonts w:ascii="Century Gothic" w:eastAsia="Century Gothic" w:hAnsi="Century Gothic" w:cs="Century Gothic"/>
          <w:b/>
          <w:i/>
          <w:sz w:val="24"/>
          <w:szCs w:val="24"/>
        </w:rPr>
        <w:t>laborando en establecimientos asistenciales, o establecimientos públicos o privados que presten servicios a niñas, niños, adolescentes o personas mayores,</w:t>
      </w:r>
      <w:r>
        <w:rPr>
          <w:rFonts w:ascii="Century Gothic" w:eastAsia="Century Gothic" w:hAnsi="Century Gothic" w:cs="Century Gothic"/>
          <w:i/>
          <w:sz w:val="24"/>
          <w:szCs w:val="24"/>
        </w:rPr>
        <w:t xml:space="preserve"> </w:t>
      </w:r>
      <w:r>
        <w:rPr>
          <w:rFonts w:ascii="Century Gothic" w:eastAsia="Century Gothic" w:hAnsi="Century Gothic" w:cs="Century Gothic"/>
          <w:b/>
          <w:i/>
          <w:sz w:val="24"/>
          <w:szCs w:val="24"/>
        </w:rPr>
        <w:t>además se le suspenderá hasta por dos años en el ejercicio de la profesión</w:t>
      </w:r>
      <w:r>
        <w:rPr>
          <w:rFonts w:ascii="Century Gothic" w:eastAsia="Century Gothic" w:hAnsi="Century Gothic" w:cs="Century Gothic"/>
          <w:i/>
          <w:sz w:val="24"/>
          <w:szCs w:val="24"/>
        </w:rPr>
        <w:t>, oficio o empleo en estas instituciones”.</w:t>
      </w:r>
    </w:p>
    <w:p w14:paraId="4EB2AEB4" w14:textId="77777777" w:rsidR="00D14AD9" w:rsidRDefault="00D14AD9">
      <w:pPr>
        <w:jc w:val="both"/>
        <w:rPr>
          <w:rFonts w:ascii="Century Gothic" w:eastAsia="Century Gothic" w:hAnsi="Century Gothic" w:cs="Century Gothic"/>
          <w:sz w:val="24"/>
          <w:szCs w:val="24"/>
        </w:rPr>
      </w:pPr>
    </w:p>
    <w:p w14:paraId="37E501BD" w14:textId="77777777" w:rsidR="00D14AD9" w:rsidRDefault="007F3028">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Entonces, aparte de la sanción penal que que se aplica en estos casos, esta suspensión a la que se refiere dicho artículo del el código penal en su segundo párrafo, se trata de una sanción meramente administrativa y es por eso mismo y por lo demás </w:t>
      </w:r>
      <w:proofErr w:type="gramStart"/>
      <w:r>
        <w:rPr>
          <w:rFonts w:ascii="Century Gothic" w:eastAsia="Century Gothic" w:hAnsi="Century Gothic" w:cs="Century Gothic"/>
          <w:sz w:val="24"/>
          <w:szCs w:val="24"/>
        </w:rPr>
        <w:t>expuesto  que</w:t>
      </w:r>
      <w:proofErr w:type="gramEnd"/>
      <w:r>
        <w:rPr>
          <w:rFonts w:ascii="Century Gothic" w:eastAsia="Century Gothic" w:hAnsi="Century Gothic" w:cs="Century Gothic"/>
          <w:sz w:val="24"/>
          <w:szCs w:val="24"/>
        </w:rPr>
        <w:t xml:space="preserve"> debemos de cubrir ese vacío en la ley general de responsabilidad administrativa.</w:t>
      </w:r>
    </w:p>
    <w:p w14:paraId="67807B09" w14:textId="77777777" w:rsidR="00D14AD9" w:rsidRDefault="00D14AD9">
      <w:pPr>
        <w:jc w:val="both"/>
        <w:rPr>
          <w:rFonts w:ascii="Century Gothic" w:eastAsia="Century Gothic" w:hAnsi="Century Gothic" w:cs="Century Gothic"/>
          <w:sz w:val="24"/>
          <w:szCs w:val="24"/>
        </w:rPr>
      </w:pPr>
    </w:p>
    <w:p w14:paraId="46FCFE22" w14:textId="77777777" w:rsidR="00D14AD9" w:rsidRDefault="007F3028">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Debemos reducir al mínimo la omisión de cuidados por parte de personal de gobierno en el cuidado de personas en situación de vulnerabilidad, la justicia es tratar a iguales como iguales y a los diferentes según sus necesidades, es </w:t>
      </w:r>
      <w:r>
        <w:rPr>
          <w:rFonts w:ascii="Century Gothic" w:eastAsia="Century Gothic" w:hAnsi="Century Gothic" w:cs="Century Gothic"/>
          <w:sz w:val="24"/>
          <w:szCs w:val="24"/>
        </w:rPr>
        <w:lastRenderedPageBreak/>
        <w:t xml:space="preserve">inadmisible que se vulneren a los niñas, niños y adolescentes por parte del Estado.  </w:t>
      </w:r>
    </w:p>
    <w:p w14:paraId="72AE2D79" w14:textId="77777777" w:rsidR="00D14AD9" w:rsidRDefault="00D14AD9">
      <w:pPr>
        <w:jc w:val="both"/>
        <w:rPr>
          <w:rFonts w:ascii="Century Gothic" w:eastAsia="Century Gothic" w:hAnsi="Century Gothic" w:cs="Century Gothic"/>
          <w:sz w:val="24"/>
          <w:szCs w:val="24"/>
        </w:rPr>
      </w:pPr>
    </w:p>
    <w:p w14:paraId="1F1373F8" w14:textId="77777777" w:rsidR="00D14AD9" w:rsidRDefault="007F3028">
      <w:pPr>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Por todo lo anteriormente mencionado, propongo a esta asamblea legislativa la siguiente iniciativa con carácter de </w:t>
      </w:r>
    </w:p>
    <w:p w14:paraId="4854B20E" w14:textId="77777777" w:rsidR="00D14AD9" w:rsidRDefault="00D14AD9">
      <w:pPr>
        <w:jc w:val="both"/>
        <w:rPr>
          <w:rFonts w:ascii="Century Gothic" w:eastAsia="Century Gothic" w:hAnsi="Century Gothic" w:cs="Century Gothic"/>
          <w:b/>
          <w:sz w:val="24"/>
          <w:szCs w:val="24"/>
        </w:rPr>
      </w:pPr>
    </w:p>
    <w:p w14:paraId="743FAF6E" w14:textId="77777777" w:rsidR="00D14AD9" w:rsidRDefault="007F3028">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DECRETO:</w:t>
      </w:r>
    </w:p>
    <w:p w14:paraId="4A3A01D3" w14:textId="77777777" w:rsidR="00D14AD9" w:rsidRDefault="00D14AD9">
      <w:pPr>
        <w:jc w:val="both"/>
        <w:rPr>
          <w:rFonts w:ascii="Century Gothic" w:eastAsia="Century Gothic" w:hAnsi="Century Gothic" w:cs="Century Gothic"/>
          <w:sz w:val="24"/>
          <w:szCs w:val="24"/>
        </w:rPr>
      </w:pPr>
    </w:p>
    <w:p w14:paraId="2E64E707" w14:textId="77777777" w:rsidR="00D14AD9" w:rsidRDefault="00D14AD9">
      <w:pPr>
        <w:jc w:val="both"/>
        <w:rPr>
          <w:rFonts w:ascii="Century Gothic" w:eastAsia="Century Gothic" w:hAnsi="Century Gothic" w:cs="Century Gothic"/>
          <w:sz w:val="24"/>
          <w:szCs w:val="24"/>
        </w:rPr>
      </w:pPr>
    </w:p>
    <w:p w14:paraId="6FFFB62E" w14:textId="77777777" w:rsidR="00D14AD9" w:rsidRDefault="007F3028">
      <w:pPr>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ARTÍCULO PRIMERO: </w:t>
      </w:r>
      <w:r>
        <w:rPr>
          <w:rFonts w:ascii="Century Gothic" w:eastAsia="Century Gothic" w:hAnsi="Century Gothic" w:cs="Century Gothic"/>
          <w:sz w:val="24"/>
          <w:szCs w:val="24"/>
        </w:rPr>
        <w:t>se adiciona un artículo 64 Quater a la ley general de responsabilidades administrativas, para quedar redactado de la siguiente manera:</w:t>
      </w:r>
    </w:p>
    <w:p w14:paraId="3FFCFD38" w14:textId="77777777" w:rsidR="00D14AD9" w:rsidRDefault="00D14AD9">
      <w:pPr>
        <w:jc w:val="both"/>
        <w:rPr>
          <w:rFonts w:ascii="Century Gothic" w:eastAsia="Century Gothic" w:hAnsi="Century Gothic" w:cs="Century Gothic"/>
          <w:sz w:val="24"/>
          <w:szCs w:val="24"/>
        </w:rPr>
      </w:pPr>
    </w:p>
    <w:p w14:paraId="678B2695" w14:textId="77777777" w:rsidR="00D14AD9" w:rsidRDefault="007F3028">
      <w:pPr>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Artículo 64 </w:t>
      </w:r>
      <w:proofErr w:type="gramStart"/>
      <w:r>
        <w:rPr>
          <w:rFonts w:ascii="Century Gothic" w:eastAsia="Century Gothic" w:hAnsi="Century Gothic" w:cs="Century Gothic"/>
          <w:b/>
          <w:sz w:val="24"/>
          <w:szCs w:val="24"/>
        </w:rPr>
        <w:t>Quáter.-</w:t>
      </w:r>
      <w:proofErr w:type="gramEnd"/>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 Comete omisión de cuidados, aquel servidor público adscrito a cualquiera de los distintos organismos de asistencia social pública que cause daño o abandone a una persona incapaz de valerse por sí misma teniendo la obligación de cuidarla.</w:t>
      </w:r>
    </w:p>
    <w:p w14:paraId="605408C7" w14:textId="77777777" w:rsidR="00D14AD9" w:rsidRDefault="00D14AD9">
      <w:pPr>
        <w:jc w:val="both"/>
        <w:rPr>
          <w:rFonts w:ascii="Century Gothic" w:eastAsia="Century Gothic" w:hAnsi="Century Gothic" w:cs="Century Gothic"/>
          <w:sz w:val="24"/>
          <w:szCs w:val="24"/>
          <w:highlight w:val="yellow"/>
        </w:rPr>
      </w:pPr>
    </w:p>
    <w:p w14:paraId="12E1B4A7" w14:textId="77777777" w:rsidR="00D14AD9" w:rsidRDefault="007F3028">
      <w:pPr>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TRANSITORIOS:</w:t>
      </w:r>
    </w:p>
    <w:p w14:paraId="77DC35E5" w14:textId="77777777" w:rsidR="00D14AD9" w:rsidRDefault="00D14AD9">
      <w:pPr>
        <w:jc w:val="center"/>
        <w:rPr>
          <w:rFonts w:ascii="Century Gothic" w:eastAsia="Century Gothic" w:hAnsi="Century Gothic" w:cs="Century Gothic"/>
          <w:b/>
          <w:sz w:val="24"/>
          <w:szCs w:val="24"/>
        </w:rPr>
      </w:pPr>
    </w:p>
    <w:p w14:paraId="560C7A1E" w14:textId="77777777" w:rsidR="00D14AD9" w:rsidRDefault="007F3028">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PRIMERO: </w:t>
      </w:r>
      <w:r>
        <w:rPr>
          <w:rFonts w:ascii="Century Gothic" w:eastAsia="Century Gothic" w:hAnsi="Century Gothic" w:cs="Century Gothic"/>
          <w:sz w:val="24"/>
          <w:szCs w:val="24"/>
        </w:rPr>
        <w:t>El presente decreto entrará en vigor al siguiente día de su publicación en el Periodico Oficial de la Federación.</w:t>
      </w:r>
    </w:p>
    <w:p w14:paraId="37B5A857" w14:textId="77777777" w:rsidR="00D14AD9" w:rsidRDefault="007F3028">
      <w:pPr>
        <w:spacing w:after="160" w:line="256"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ECONÓMICO. - </w:t>
      </w:r>
      <w:r>
        <w:rPr>
          <w:rFonts w:ascii="Century Gothic" w:eastAsia="Century Gothic" w:hAnsi="Century Gothic" w:cs="Century Gothic"/>
          <w:sz w:val="24"/>
          <w:szCs w:val="24"/>
        </w:rPr>
        <w:t>Aprobado que sea, turnese a la Secretaría para que elabore la minuta de Decreto correspondiente.</w:t>
      </w:r>
    </w:p>
    <w:p w14:paraId="4F07EA78" w14:textId="77777777" w:rsidR="00D14AD9" w:rsidRDefault="007F3028">
      <w:pPr>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DADO: </w:t>
      </w:r>
      <w:r>
        <w:rPr>
          <w:rFonts w:ascii="Century Gothic" w:eastAsia="Century Gothic" w:hAnsi="Century Gothic" w:cs="Century Gothic"/>
          <w:sz w:val="24"/>
          <w:szCs w:val="24"/>
        </w:rPr>
        <w:t>En el salón de sesiones del H. Congreso del Estado de Chihuahua a los 03 días del mes de diciembre del 2024.</w:t>
      </w:r>
    </w:p>
    <w:p w14:paraId="7DBAE7C4" w14:textId="77777777" w:rsidR="00D14AD9" w:rsidRDefault="00D14AD9">
      <w:pPr>
        <w:rPr>
          <w:rFonts w:ascii="Century Gothic" w:eastAsia="Century Gothic" w:hAnsi="Century Gothic" w:cs="Century Gothic"/>
          <w:sz w:val="24"/>
          <w:szCs w:val="24"/>
        </w:rPr>
      </w:pPr>
    </w:p>
    <w:p w14:paraId="065A32CF" w14:textId="77777777" w:rsidR="00D14AD9" w:rsidRDefault="00D14AD9">
      <w:pPr>
        <w:rPr>
          <w:rFonts w:ascii="Century Gothic" w:eastAsia="Century Gothic" w:hAnsi="Century Gothic" w:cs="Century Gothic"/>
          <w:sz w:val="24"/>
          <w:szCs w:val="24"/>
        </w:rPr>
      </w:pPr>
    </w:p>
    <w:p w14:paraId="4D5BD231" w14:textId="77777777" w:rsidR="00D14AD9" w:rsidRDefault="007F3028">
      <w:pPr>
        <w:spacing w:after="160" w:line="256"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ATENTAMENTE</w:t>
      </w:r>
    </w:p>
    <w:p w14:paraId="569B74F8" w14:textId="77777777" w:rsidR="00D14AD9" w:rsidRDefault="00D14AD9">
      <w:pPr>
        <w:spacing w:after="160" w:line="480" w:lineRule="auto"/>
        <w:rPr>
          <w:rFonts w:ascii="Century Gothic" w:eastAsia="Century Gothic" w:hAnsi="Century Gothic" w:cs="Century Gothic"/>
          <w:b/>
          <w:sz w:val="24"/>
          <w:szCs w:val="24"/>
        </w:rPr>
      </w:pPr>
    </w:p>
    <w:tbl>
      <w:tblPr>
        <w:tblStyle w:val="a"/>
        <w:tblW w:w="90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0"/>
        <w:gridCol w:w="4500"/>
      </w:tblGrid>
      <w:tr w:rsidR="00D14AD9" w14:paraId="6D65CFB3" w14:textId="77777777">
        <w:trPr>
          <w:jc w:val="center"/>
        </w:trPr>
        <w:tc>
          <w:tcPr>
            <w:tcW w:w="4530" w:type="dxa"/>
            <w:shd w:val="clear" w:color="auto" w:fill="auto"/>
            <w:tcMar>
              <w:top w:w="100" w:type="dxa"/>
              <w:left w:w="100" w:type="dxa"/>
              <w:bottom w:w="100" w:type="dxa"/>
              <w:right w:w="100" w:type="dxa"/>
            </w:tcMar>
          </w:tcPr>
          <w:p w14:paraId="24E33FC3" w14:textId="77777777" w:rsidR="00D14AD9" w:rsidRDefault="007F3028">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Dip. Magdalena Renteria Perez</w:t>
            </w:r>
          </w:p>
          <w:p w14:paraId="3D11E45F" w14:textId="77777777" w:rsidR="00D14AD9" w:rsidRDefault="00D14AD9">
            <w:pPr>
              <w:widowControl w:val="0"/>
              <w:spacing w:line="240" w:lineRule="auto"/>
              <w:rPr>
                <w:rFonts w:ascii="Century Gothic" w:eastAsia="Century Gothic" w:hAnsi="Century Gothic" w:cs="Century Gothic"/>
                <w:b/>
                <w:sz w:val="24"/>
                <w:szCs w:val="24"/>
              </w:rPr>
            </w:pPr>
          </w:p>
          <w:p w14:paraId="7272E3C1" w14:textId="77777777" w:rsidR="00D14AD9" w:rsidRDefault="00D14AD9">
            <w:pPr>
              <w:widowControl w:val="0"/>
              <w:spacing w:line="240" w:lineRule="auto"/>
              <w:rPr>
                <w:rFonts w:ascii="Century Gothic" w:eastAsia="Century Gothic" w:hAnsi="Century Gothic" w:cs="Century Gothic"/>
                <w:b/>
                <w:sz w:val="24"/>
                <w:szCs w:val="24"/>
              </w:rPr>
            </w:pPr>
          </w:p>
          <w:p w14:paraId="3C985BC0" w14:textId="77777777" w:rsidR="00D14AD9" w:rsidRDefault="00D14AD9">
            <w:pPr>
              <w:widowControl w:val="0"/>
              <w:spacing w:line="240" w:lineRule="auto"/>
              <w:rPr>
                <w:rFonts w:ascii="Century Gothic" w:eastAsia="Century Gothic" w:hAnsi="Century Gothic" w:cs="Century Gothic"/>
                <w:b/>
                <w:sz w:val="24"/>
                <w:szCs w:val="24"/>
              </w:rPr>
            </w:pPr>
          </w:p>
        </w:tc>
        <w:tc>
          <w:tcPr>
            <w:tcW w:w="4500" w:type="dxa"/>
            <w:shd w:val="clear" w:color="auto" w:fill="auto"/>
            <w:tcMar>
              <w:top w:w="100" w:type="dxa"/>
              <w:left w:w="100" w:type="dxa"/>
              <w:bottom w:w="100" w:type="dxa"/>
              <w:right w:w="100" w:type="dxa"/>
            </w:tcMar>
          </w:tcPr>
          <w:p w14:paraId="3C049929" w14:textId="77777777" w:rsidR="00D14AD9" w:rsidRDefault="007F3028">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Dip. Elizabeth Guzmán Argueta</w:t>
            </w:r>
          </w:p>
          <w:p w14:paraId="17748D84" w14:textId="77777777" w:rsidR="00D14AD9" w:rsidRDefault="00D14AD9">
            <w:pPr>
              <w:widowControl w:val="0"/>
              <w:spacing w:line="240" w:lineRule="auto"/>
              <w:rPr>
                <w:rFonts w:ascii="Century Gothic" w:eastAsia="Century Gothic" w:hAnsi="Century Gothic" w:cs="Century Gothic"/>
                <w:b/>
                <w:sz w:val="24"/>
                <w:szCs w:val="24"/>
              </w:rPr>
            </w:pPr>
          </w:p>
        </w:tc>
      </w:tr>
      <w:tr w:rsidR="00D14AD9" w14:paraId="674E8F69" w14:textId="77777777">
        <w:trPr>
          <w:jc w:val="center"/>
        </w:trPr>
        <w:tc>
          <w:tcPr>
            <w:tcW w:w="4530" w:type="dxa"/>
            <w:shd w:val="clear" w:color="auto" w:fill="auto"/>
            <w:tcMar>
              <w:top w:w="100" w:type="dxa"/>
              <w:left w:w="100" w:type="dxa"/>
              <w:bottom w:w="100" w:type="dxa"/>
              <w:right w:w="100" w:type="dxa"/>
            </w:tcMar>
          </w:tcPr>
          <w:p w14:paraId="75DE028E" w14:textId="77777777" w:rsidR="00D14AD9" w:rsidRDefault="007F3028">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Dip. Edin Cuauhtémoc Estrada Sotelo</w:t>
            </w:r>
          </w:p>
          <w:p w14:paraId="6114FD71" w14:textId="77777777" w:rsidR="00D14AD9" w:rsidRDefault="00D14AD9">
            <w:pPr>
              <w:widowControl w:val="0"/>
              <w:spacing w:line="240" w:lineRule="auto"/>
              <w:rPr>
                <w:rFonts w:ascii="Century Gothic" w:eastAsia="Century Gothic" w:hAnsi="Century Gothic" w:cs="Century Gothic"/>
                <w:b/>
                <w:sz w:val="24"/>
                <w:szCs w:val="24"/>
              </w:rPr>
            </w:pPr>
          </w:p>
          <w:p w14:paraId="7D4BBBA1" w14:textId="77777777" w:rsidR="00D14AD9" w:rsidRDefault="00D14AD9">
            <w:pPr>
              <w:widowControl w:val="0"/>
              <w:spacing w:line="240" w:lineRule="auto"/>
              <w:rPr>
                <w:rFonts w:ascii="Century Gothic" w:eastAsia="Century Gothic" w:hAnsi="Century Gothic" w:cs="Century Gothic"/>
                <w:b/>
                <w:sz w:val="24"/>
                <w:szCs w:val="24"/>
              </w:rPr>
            </w:pPr>
          </w:p>
          <w:p w14:paraId="5D69F8B0" w14:textId="77777777" w:rsidR="00D14AD9" w:rsidRDefault="00D14AD9">
            <w:pPr>
              <w:widowControl w:val="0"/>
              <w:spacing w:line="240" w:lineRule="auto"/>
              <w:rPr>
                <w:rFonts w:ascii="Century Gothic" w:eastAsia="Century Gothic" w:hAnsi="Century Gothic" w:cs="Century Gothic"/>
                <w:b/>
                <w:sz w:val="24"/>
                <w:szCs w:val="24"/>
              </w:rPr>
            </w:pPr>
          </w:p>
        </w:tc>
        <w:tc>
          <w:tcPr>
            <w:tcW w:w="4500" w:type="dxa"/>
            <w:shd w:val="clear" w:color="auto" w:fill="auto"/>
            <w:tcMar>
              <w:top w:w="100" w:type="dxa"/>
              <w:left w:w="100" w:type="dxa"/>
              <w:bottom w:w="100" w:type="dxa"/>
              <w:right w:w="100" w:type="dxa"/>
            </w:tcMar>
          </w:tcPr>
          <w:p w14:paraId="457652AD" w14:textId="77777777" w:rsidR="00D14AD9" w:rsidRDefault="007F3028">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Dip. Leticia Ortega Máynez</w:t>
            </w:r>
          </w:p>
        </w:tc>
      </w:tr>
      <w:tr w:rsidR="00D14AD9" w14:paraId="1DFDE027" w14:textId="77777777">
        <w:trPr>
          <w:jc w:val="center"/>
        </w:trPr>
        <w:tc>
          <w:tcPr>
            <w:tcW w:w="4530" w:type="dxa"/>
            <w:shd w:val="clear" w:color="auto" w:fill="auto"/>
            <w:tcMar>
              <w:top w:w="100" w:type="dxa"/>
              <w:left w:w="100" w:type="dxa"/>
              <w:bottom w:w="100" w:type="dxa"/>
              <w:right w:w="100" w:type="dxa"/>
            </w:tcMar>
          </w:tcPr>
          <w:p w14:paraId="4BE0A3CF" w14:textId="77777777" w:rsidR="00D14AD9" w:rsidRDefault="007F3028">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Dip. Óscar Daniel Avitia Arellanes</w:t>
            </w:r>
          </w:p>
          <w:p w14:paraId="03F90EED" w14:textId="77777777" w:rsidR="00D14AD9" w:rsidRDefault="00D14AD9">
            <w:pPr>
              <w:widowControl w:val="0"/>
              <w:spacing w:line="240" w:lineRule="auto"/>
              <w:rPr>
                <w:rFonts w:ascii="Century Gothic" w:eastAsia="Century Gothic" w:hAnsi="Century Gothic" w:cs="Century Gothic"/>
                <w:b/>
                <w:sz w:val="24"/>
                <w:szCs w:val="24"/>
              </w:rPr>
            </w:pPr>
          </w:p>
          <w:p w14:paraId="04BE3B98" w14:textId="77777777" w:rsidR="00D14AD9" w:rsidRDefault="00D14AD9">
            <w:pPr>
              <w:widowControl w:val="0"/>
              <w:spacing w:line="240" w:lineRule="auto"/>
              <w:rPr>
                <w:rFonts w:ascii="Century Gothic" w:eastAsia="Century Gothic" w:hAnsi="Century Gothic" w:cs="Century Gothic"/>
                <w:b/>
                <w:sz w:val="24"/>
                <w:szCs w:val="24"/>
              </w:rPr>
            </w:pPr>
          </w:p>
          <w:p w14:paraId="1100F11E" w14:textId="77777777" w:rsidR="00D14AD9" w:rsidRDefault="00D14AD9">
            <w:pPr>
              <w:widowControl w:val="0"/>
              <w:spacing w:line="240" w:lineRule="auto"/>
              <w:rPr>
                <w:rFonts w:ascii="Century Gothic" w:eastAsia="Century Gothic" w:hAnsi="Century Gothic" w:cs="Century Gothic"/>
                <w:b/>
                <w:sz w:val="24"/>
                <w:szCs w:val="24"/>
              </w:rPr>
            </w:pPr>
          </w:p>
        </w:tc>
        <w:tc>
          <w:tcPr>
            <w:tcW w:w="4500" w:type="dxa"/>
            <w:shd w:val="clear" w:color="auto" w:fill="auto"/>
            <w:tcMar>
              <w:top w:w="100" w:type="dxa"/>
              <w:left w:w="100" w:type="dxa"/>
              <w:bottom w:w="100" w:type="dxa"/>
              <w:right w:w="100" w:type="dxa"/>
            </w:tcMar>
          </w:tcPr>
          <w:p w14:paraId="6C2EB688" w14:textId="77777777" w:rsidR="00D14AD9" w:rsidRDefault="007F3028">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Dip. Rosana Díaz Reyes</w:t>
            </w:r>
          </w:p>
          <w:p w14:paraId="571D66CE" w14:textId="77777777" w:rsidR="00D14AD9" w:rsidRDefault="00D14AD9">
            <w:pPr>
              <w:widowControl w:val="0"/>
              <w:spacing w:line="240" w:lineRule="auto"/>
              <w:rPr>
                <w:rFonts w:ascii="Century Gothic" w:eastAsia="Century Gothic" w:hAnsi="Century Gothic" w:cs="Century Gothic"/>
                <w:b/>
                <w:sz w:val="24"/>
                <w:szCs w:val="24"/>
              </w:rPr>
            </w:pPr>
          </w:p>
        </w:tc>
      </w:tr>
      <w:tr w:rsidR="00D14AD9" w14:paraId="4AA8F058" w14:textId="77777777">
        <w:trPr>
          <w:trHeight w:val="1320"/>
          <w:jc w:val="center"/>
        </w:trPr>
        <w:tc>
          <w:tcPr>
            <w:tcW w:w="4530" w:type="dxa"/>
            <w:shd w:val="clear" w:color="auto" w:fill="auto"/>
            <w:tcMar>
              <w:top w:w="100" w:type="dxa"/>
              <w:left w:w="100" w:type="dxa"/>
              <w:bottom w:w="100" w:type="dxa"/>
              <w:right w:w="100" w:type="dxa"/>
            </w:tcMar>
          </w:tcPr>
          <w:p w14:paraId="2F8D008D" w14:textId="77777777" w:rsidR="00D14AD9" w:rsidRDefault="007F3028">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Dip. María Antonieta Pérez Reyes</w:t>
            </w:r>
          </w:p>
          <w:p w14:paraId="4F5AE688" w14:textId="77777777" w:rsidR="00D14AD9" w:rsidRDefault="00D14AD9">
            <w:pPr>
              <w:widowControl w:val="0"/>
              <w:spacing w:line="240" w:lineRule="auto"/>
              <w:rPr>
                <w:rFonts w:ascii="Century Gothic" w:eastAsia="Century Gothic" w:hAnsi="Century Gothic" w:cs="Century Gothic"/>
                <w:b/>
                <w:sz w:val="24"/>
                <w:szCs w:val="24"/>
              </w:rPr>
            </w:pPr>
          </w:p>
          <w:p w14:paraId="6D4AC9EB" w14:textId="77777777" w:rsidR="00D14AD9" w:rsidRDefault="00D14AD9">
            <w:pPr>
              <w:widowControl w:val="0"/>
              <w:spacing w:line="240" w:lineRule="auto"/>
              <w:rPr>
                <w:rFonts w:ascii="Century Gothic" w:eastAsia="Century Gothic" w:hAnsi="Century Gothic" w:cs="Century Gothic"/>
                <w:b/>
                <w:sz w:val="24"/>
                <w:szCs w:val="24"/>
              </w:rPr>
            </w:pPr>
          </w:p>
          <w:p w14:paraId="69312664" w14:textId="77777777" w:rsidR="00D14AD9" w:rsidRDefault="00D14AD9">
            <w:pPr>
              <w:widowControl w:val="0"/>
              <w:spacing w:line="240" w:lineRule="auto"/>
              <w:rPr>
                <w:rFonts w:ascii="Century Gothic" w:eastAsia="Century Gothic" w:hAnsi="Century Gothic" w:cs="Century Gothic"/>
                <w:b/>
                <w:sz w:val="24"/>
                <w:szCs w:val="24"/>
              </w:rPr>
            </w:pPr>
          </w:p>
          <w:p w14:paraId="1D9ACB6F" w14:textId="77777777" w:rsidR="00D14AD9" w:rsidRDefault="00D14AD9">
            <w:pPr>
              <w:widowControl w:val="0"/>
              <w:spacing w:line="240" w:lineRule="auto"/>
              <w:rPr>
                <w:rFonts w:ascii="Century Gothic" w:eastAsia="Century Gothic" w:hAnsi="Century Gothic" w:cs="Century Gothic"/>
                <w:b/>
                <w:sz w:val="24"/>
                <w:szCs w:val="24"/>
              </w:rPr>
            </w:pPr>
          </w:p>
        </w:tc>
        <w:tc>
          <w:tcPr>
            <w:tcW w:w="4500" w:type="dxa"/>
            <w:shd w:val="clear" w:color="auto" w:fill="auto"/>
            <w:tcMar>
              <w:top w:w="100" w:type="dxa"/>
              <w:left w:w="100" w:type="dxa"/>
              <w:bottom w:w="100" w:type="dxa"/>
              <w:right w:w="100" w:type="dxa"/>
            </w:tcMar>
          </w:tcPr>
          <w:p w14:paraId="567B1386" w14:textId="77777777" w:rsidR="00D14AD9" w:rsidRDefault="007F3028">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Dip. Brenda Francisca Ríos Prieto</w:t>
            </w:r>
          </w:p>
        </w:tc>
      </w:tr>
      <w:tr w:rsidR="00D14AD9" w14:paraId="3E87A0B1" w14:textId="77777777">
        <w:trPr>
          <w:jc w:val="center"/>
        </w:trPr>
        <w:tc>
          <w:tcPr>
            <w:tcW w:w="4530" w:type="dxa"/>
            <w:shd w:val="clear" w:color="auto" w:fill="auto"/>
            <w:tcMar>
              <w:top w:w="100" w:type="dxa"/>
              <w:left w:w="100" w:type="dxa"/>
              <w:bottom w:w="100" w:type="dxa"/>
              <w:right w:w="100" w:type="dxa"/>
            </w:tcMar>
          </w:tcPr>
          <w:p w14:paraId="4E1932B0" w14:textId="77777777" w:rsidR="00D14AD9" w:rsidRDefault="007F3028">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Dip. </w:t>
            </w: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Edith Palma Ontiveros</w:t>
            </w:r>
          </w:p>
          <w:p w14:paraId="37BA7828" w14:textId="77777777" w:rsidR="00D14AD9" w:rsidRDefault="00D14AD9">
            <w:pPr>
              <w:widowControl w:val="0"/>
              <w:spacing w:line="240" w:lineRule="auto"/>
              <w:rPr>
                <w:rFonts w:ascii="Century Gothic" w:eastAsia="Century Gothic" w:hAnsi="Century Gothic" w:cs="Century Gothic"/>
                <w:b/>
                <w:sz w:val="24"/>
                <w:szCs w:val="24"/>
              </w:rPr>
            </w:pPr>
          </w:p>
          <w:p w14:paraId="07A077CB" w14:textId="77777777" w:rsidR="00D14AD9" w:rsidRDefault="00D14AD9">
            <w:pPr>
              <w:widowControl w:val="0"/>
              <w:spacing w:line="240" w:lineRule="auto"/>
              <w:rPr>
                <w:rFonts w:ascii="Century Gothic" w:eastAsia="Century Gothic" w:hAnsi="Century Gothic" w:cs="Century Gothic"/>
                <w:b/>
                <w:sz w:val="24"/>
                <w:szCs w:val="24"/>
              </w:rPr>
            </w:pPr>
          </w:p>
          <w:p w14:paraId="32205162" w14:textId="77777777" w:rsidR="00D14AD9" w:rsidRDefault="00D14AD9">
            <w:pPr>
              <w:widowControl w:val="0"/>
              <w:spacing w:line="240" w:lineRule="auto"/>
              <w:rPr>
                <w:rFonts w:ascii="Century Gothic" w:eastAsia="Century Gothic" w:hAnsi="Century Gothic" w:cs="Century Gothic"/>
                <w:b/>
                <w:sz w:val="24"/>
                <w:szCs w:val="24"/>
              </w:rPr>
            </w:pPr>
          </w:p>
        </w:tc>
        <w:tc>
          <w:tcPr>
            <w:tcW w:w="4500" w:type="dxa"/>
            <w:shd w:val="clear" w:color="auto" w:fill="auto"/>
            <w:tcMar>
              <w:top w:w="100" w:type="dxa"/>
              <w:left w:w="100" w:type="dxa"/>
              <w:bottom w:w="100" w:type="dxa"/>
              <w:right w:w="100" w:type="dxa"/>
            </w:tcMar>
          </w:tcPr>
          <w:p w14:paraId="1CDEDDA4" w14:textId="77777777" w:rsidR="00D14AD9" w:rsidRDefault="007F3028">
            <w:pPr>
              <w:widowControl w:val="0"/>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Dip. Herminia Gómez Carrasco</w:t>
            </w:r>
          </w:p>
          <w:p w14:paraId="2CE9A988" w14:textId="77777777" w:rsidR="00D14AD9" w:rsidRDefault="00D14AD9">
            <w:pPr>
              <w:widowControl w:val="0"/>
              <w:spacing w:line="240" w:lineRule="auto"/>
              <w:rPr>
                <w:rFonts w:ascii="Century Gothic" w:eastAsia="Century Gothic" w:hAnsi="Century Gothic" w:cs="Century Gothic"/>
                <w:b/>
                <w:sz w:val="24"/>
                <w:szCs w:val="24"/>
              </w:rPr>
            </w:pPr>
          </w:p>
          <w:p w14:paraId="1B198ECA" w14:textId="77777777" w:rsidR="00D14AD9" w:rsidRDefault="00D14AD9">
            <w:pPr>
              <w:widowControl w:val="0"/>
              <w:spacing w:line="240" w:lineRule="auto"/>
              <w:rPr>
                <w:rFonts w:ascii="Century Gothic" w:eastAsia="Century Gothic" w:hAnsi="Century Gothic" w:cs="Century Gothic"/>
                <w:b/>
                <w:sz w:val="24"/>
                <w:szCs w:val="24"/>
              </w:rPr>
            </w:pPr>
          </w:p>
        </w:tc>
      </w:tr>
      <w:tr w:rsidR="00D14AD9" w14:paraId="4A858E00" w14:textId="77777777">
        <w:trPr>
          <w:jc w:val="center"/>
        </w:trPr>
        <w:tc>
          <w:tcPr>
            <w:tcW w:w="4530" w:type="dxa"/>
            <w:shd w:val="clear" w:color="auto" w:fill="auto"/>
            <w:tcMar>
              <w:top w:w="100" w:type="dxa"/>
              <w:left w:w="100" w:type="dxa"/>
              <w:bottom w:w="100" w:type="dxa"/>
              <w:right w:w="100" w:type="dxa"/>
            </w:tcMar>
          </w:tcPr>
          <w:p w14:paraId="742C80D0" w14:textId="77777777" w:rsidR="00D14AD9" w:rsidRDefault="007F3028">
            <w:pPr>
              <w:spacing w:after="160" w:line="48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Dip. Jael Argüelles Díaz</w:t>
            </w:r>
          </w:p>
        </w:tc>
        <w:tc>
          <w:tcPr>
            <w:tcW w:w="4500" w:type="dxa"/>
            <w:shd w:val="clear" w:color="auto" w:fill="auto"/>
            <w:tcMar>
              <w:top w:w="100" w:type="dxa"/>
              <w:left w:w="100" w:type="dxa"/>
              <w:bottom w:w="100" w:type="dxa"/>
              <w:right w:w="100" w:type="dxa"/>
            </w:tcMar>
          </w:tcPr>
          <w:p w14:paraId="6A569595" w14:textId="77777777" w:rsidR="00D14AD9" w:rsidRDefault="007F3028">
            <w:pPr>
              <w:spacing w:after="160" w:line="480" w:lineRule="auto"/>
              <w:jc w:val="both"/>
              <w:rPr>
                <w:rFonts w:ascii="Century Gothic" w:eastAsia="Century Gothic" w:hAnsi="Century Gothic" w:cs="Century Gothic"/>
                <w:b/>
                <w:sz w:val="24"/>
                <w:szCs w:val="24"/>
              </w:rPr>
            </w:pPr>
            <w:r>
              <w:rPr>
                <w:rFonts w:ascii="Century Gothic" w:eastAsia="Century Gothic" w:hAnsi="Century Gothic" w:cs="Century Gothic"/>
                <w:b/>
                <w:sz w:val="24"/>
                <w:szCs w:val="24"/>
              </w:rPr>
              <w:t>Dip. Pedro Torres Estrada</w:t>
            </w:r>
          </w:p>
          <w:p w14:paraId="16B5763C" w14:textId="77777777" w:rsidR="00D14AD9" w:rsidRDefault="00D14AD9">
            <w:pPr>
              <w:widowControl w:val="0"/>
              <w:spacing w:line="240" w:lineRule="auto"/>
              <w:rPr>
                <w:rFonts w:ascii="Century Gothic" w:eastAsia="Century Gothic" w:hAnsi="Century Gothic" w:cs="Century Gothic"/>
                <w:b/>
                <w:sz w:val="24"/>
                <w:szCs w:val="24"/>
              </w:rPr>
            </w:pPr>
          </w:p>
        </w:tc>
      </w:tr>
      <w:tr w:rsidR="00D14AD9" w14:paraId="6405B0B1" w14:textId="77777777">
        <w:trPr>
          <w:trHeight w:val="440"/>
          <w:jc w:val="center"/>
        </w:trPr>
        <w:tc>
          <w:tcPr>
            <w:tcW w:w="9030" w:type="dxa"/>
            <w:gridSpan w:val="2"/>
            <w:shd w:val="clear" w:color="auto" w:fill="auto"/>
            <w:tcMar>
              <w:top w:w="100" w:type="dxa"/>
              <w:left w:w="100" w:type="dxa"/>
              <w:bottom w:w="100" w:type="dxa"/>
              <w:right w:w="100" w:type="dxa"/>
            </w:tcMar>
          </w:tcPr>
          <w:p w14:paraId="00A5644E" w14:textId="77777777" w:rsidR="00D14AD9" w:rsidRDefault="007F3028">
            <w:pPr>
              <w:spacing w:after="160" w:line="24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presente hoja de firmas forma parte de: </w:t>
            </w:r>
            <w:r>
              <w:rPr>
                <w:rFonts w:ascii="Century Gothic" w:eastAsia="Century Gothic" w:hAnsi="Century Gothic" w:cs="Century Gothic"/>
                <w:b/>
                <w:sz w:val="24"/>
                <w:szCs w:val="24"/>
              </w:rPr>
              <w:t>Iniciativa con carácter de decreto ante el H. Congreso de la Unión a efecto de adicionar un artículo 64 quater a la ley general de responsabilidades administrativas para que se considere como falta grave la omisión de cuidados en el supuesto de servidores públicos que se encarguen de la tutela de Niñas, Niños y Adolescentes</w:t>
            </w: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adultos mayores y demás grupos vulnerables.</w:t>
            </w:r>
          </w:p>
        </w:tc>
      </w:tr>
    </w:tbl>
    <w:p w14:paraId="49586485" w14:textId="77777777" w:rsidR="00D14AD9" w:rsidRDefault="00D14AD9">
      <w:pPr>
        <w:rPr>
          <w:rFonts w:ascii="Century Gothic" w:eastAsia="Century Gothic" w:hAnsi="Century Gothic" w:cs="Century Gothic"/>
          <w:b/>
          <w:sz w:val="24"/>
          <w:szCs w:val="24"/>
        </w:rPr>
      </w:pPr>
    </w:p>
    <w:sectPr w:rsidR="00D14AD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1" w:fontKey="{EC424C44-7286-4DEC-9F10-10D5AADE7C71}"/>
    <w:embedBold r:id="rId2" w:fontKey="{E6233BE7-E7AA-441F-AB92-C744F37BBAFC}"/>
    <w:embedItalic r:id="rId3" w:fontKey="{4342ABEA-73C4-4B4E-9B8B-D69204236A7B}"/>
    <w:embedBoldItalic r:id="rId4" w:fontKey="{8550F800-B163-43DE-8F35-171020F6DED2}"/>
  </w:font>
  <w:font w:name="Calibri">
    <w:panose1 w:val="020F0502020204030204"/>
    <w:charset w:val="00"/>
    <w:family w:val="swiss"/>
    <w:pitch w:val="variable"/>
    <w:sig w:usb0="E4002EFF" w:usb1="C000247B" w:usb2="00000009" w:usb3="00000000" w:csb0="000001FF" w:csb1="00000000"/>
    <w:embedRegular r:id="rId5" w:fontKey="{41076C31-9590-4480-B45E-91194224CEAD}"/>
  </w:font>
  <w:font w:name="Cambria">
    <w:panose1 w:val="02040503050406030204"/>
    <w:charset w:val="00"/>
    <w:family w:val="roman"/>
    <w:pitch w:val="variable"/>
    <w:sig w:usb0="E00006FF" w:usb1="420024FF" w:usb2="02000000" w:usb3="00000000" w:csb0="0000019F" w:csb1="00000000"/>
    <w:embedRegular r:id="rId6" w:fontKey="{A1E3F14E-5F27-4325-9FCF-711F5CA2E9D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AD9"/>
    <w:rsid w:val="00157799"/>
    <w:rsid w:val="007C35C2"/>
    <w:rsid w:val="007F3028"/>
    <w:rsid w:val="00D14AD9"/>
    <w:rsid w:val="00F465B6"/>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96CBA"/>
  <w15:docId w15:val="{C4AFC734-22F6-4D4B-8241-47274C398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MX"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931</Words>
  <Characters>5126</Characters>
  <Application>Microsoft Office Word</Application>
  <DocSecurity>0</DocSecurity>
  <Lines>42</Lines>
  <Paragraphs>12</Paragraphs>
  <ScaleCrop>false</ScaleCrop>
  <Company/>
  <LinksUpToDate>false</LinksUpToDate>
  <CharactersWithSpaces>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2024-12-02T17:36:00Z</dcterms:created>
  <dcterms:modified xsi:type="dcterms:W3CDTF">2024-12-02T17:36:00Z</dcterms:modified>
</cp:coreProperties>
</file>