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9D079E" w14:textId="77777777" w:rsidR="00A42AAE" w:rsidRDefault="00000000">
      <w:pPr>
        <w:rPr>
          <w:rFonts w:ascii="Arial" w:eastAsia="Arial" w:hAnsi="Arial" w:cs="Arial"/>
          <w:sz w:val="32"/>
          <w:szCs w:val="32"/>
        </w:rPr>
      </w:pPr>
      <w:r>
        <w:rPr>
          <w:rFonts w:ascii="Arial" w:eastAsia="Arial" w:hAnsi="Arial" w:cs="Arial"/>
          <w:b/>
          <w:sz w:val="32"/>
          <w:szCs w:val="32"/>
        </w:rPr>
        <w:t>H. CONGRESO DEL ESTADO.</w:t>
      </w:r>
      <w:r>
        <w:rPr>
          <w:rFonts w:ascii="Arial" w:eastAsia="Arial" w:hAnsi="Arial" w:cs="Arial"/>
          <w:sz w:val="32"/>
          <w:szCs w:val="32"/>
        </w:rPr>
        <w:t xml:space="preserve"> </w:t>
      </w:r>
    </w:p>
    <w:p w14:paraId="2E39F039" w14:textId="77777777" w:rsidR="00A42AAE" w:rsidRDefault="00000000">
      <w:pPr>
        <w:rPr>
          <w:rFonts w:ascii="Arial" w:eastAsia="Arial" w:hAnsi="Arial" w:cs="Arial"/>
          <w:sz w:val="32"/>
          <w:szCs w:val="32"/>
        </w:rPr>
      </w:pPr>
      <w:r>
        <w:rPr>
          <w:rFonts w:ascii="Arial" w:eastAsia="Arial" w:hAnsi="Arial" w:cs="Arial"/>
          <w:b/>
          <w:sz w:val="32"/>
          <w:szCs w:val="32"/>
        </w:rPr>
        <w:t>P R E S E N T E.</w:t>
      </w:r>
      <w:r>
        <w:rPr>
          <w:rFonts w:ascii="Arial" w:eastAsia="Arial" w:hAnsi="Arial" w:cs="Arial"/>
          <w:sz w:val="32"/>
          <w:szCs w:val="32"/>
        </w:rPr>
        <w:t xml:space="preserve"> </w:t>
      </w:r>
    </w:p>
    <w:p w14:paraId="7FC17A8B" w14:textId="77777777" w:rsidR="00A42AAE" w:rsidRDefault="00A42AAE">
      <w:pPr>
        <w:spacing w:line="360" w:lineRule="auto"/>
        <w:jc w:val="both"/>
        <w:rPr>
          <w:rFonts w:ascii="Arial" w:eastAsia="Arial" w:hAnsi="Arial" w:cs="Arial"/>
          <w:sz w:val="28"/>
          <w:szCs w:val="28"/>
        </w:rPr>
      </w:pPr>
    </w:p>
    <w:p w14:paraId="3C871D68" w14:textId="77777777" w:rsidR="00A42AAE" w:rsidRDefault="00000000">
      <w:pPr>
        <w:spacing w:line="360" w:lineRule="auto"/>
        <w:jc w:val="both"/>
        <w:rPr>
          <w:rFonts w:ascii="Arial" w:eastAsia="Arial" w:hAnsi="Arial" w:cs="Arial"/>
          <w:sz w:val="28"/>
          <w:szCs w:val="28"/>
        </w:rPr>
      </w:pPr>
      <w:r>
        <w:rPr>
          <w:rFonts w:ascii="Arial" w:eastAsia="Arial" w:hAnsi="Arial" w:cs="Arial"/>
          <w:sz w:val="28"/>
          <w:szCs w:val="28"/>
        </w:rPr>
        <w:t>Quienes suscriben,</w:t>
      </w:r>
      <w:r>
        <w:rPr>
          <w:rFonts w:ascii="Arial" w:eastAsia="Arial" w:hAnsi="Arial" w:cs="Arial"/>
          <w:b/>
          <w:sz w:val="28"/>
          <w:szCs w:val="28"/>
        </w:rPr>
        <w:t xml:space="preserve"> Magdalena Rentería Pérez, María Antonieta Pérez Reyes, Leticia Ortega Máynez, Óscar Daniel Avitia Arellanes, Brenda Francisca Ríos Prieto, Edith Palma Ontiveros, Herminia Gómez Carrasco, Edin Cuauhtémoc Estrada Sotelo, Jael Argüelles Díaz, Pedro Torres Estrada, Elizabeth Guzmán Argueta, </w:t>
      </w:r>
      <w:r>
        <w:rPr>
          <w:rFonts w:ascii="Arial" w:eastAsia="Arial" w:hAnsi="Arial" w:cs="Arial"/>
          <w:sz w:val="28"/>
          <w:szCs w:val="28"/>
        </w:rPr>
        <w:t>y la de la voz</w:t>
      </w:r>
      <w:r>
        <w:rPr>
          <w:rFonts w:ascii="Arial" w:eastAsia="Arial" w:hAnsi="Arial" w:cs="Arial"/>
          <w:b/>
          <w:sz w:val="28"/>
          <w:szCs w:val="28"/>
        </w:rPr>
        <w:t>, Rosana Díaz Reyes</w:t>
      </w:r>
      <w:r>
        <w:rPr>
          <w:rFonts w:ascii="Arial" w:eastAsia="Arial" w:hAnsi="Arial" w:cs="Arial"/>
          <w:color w:val="000000"/>
          <w:sz w:val="28"/>
          <w:szCs w:val="28"/>
        </w:rPr>
        <w:t>, en nuestro carácter de Diputadas y Diputados de la Sexagésima Octava Legislatura del Honorable Congreso del Estado de Chihuahua e integrantes del Grupo Parlamentario de Morena,</w:t>
      </w:r>
      <w:r>
        <w:rPr>
          <w:rFonts w:ascii="Arial" w:eastAsia="Arial" w:hAnsi="Arial" w:cs="Arial"/>
          <w:sz w:val="28"/>
          <w:szCs w:val="28"/>
        </w:rPr>
        <w:t xml:space="preserve">, con fundamento en lo dispuesto por la fracción I del artículo 68 de la Constitución Política del Estado y demás normas relativas, me permito someter a la consideración de esta Soberanía, la siguiente iniciativa con carácter de </w:t>
      </w:r>
      <w:r>
        <w:rPr>
          <w:rFonts w:ascii="Arial" w:eastAsia="Arial" w:hAnsi="Arial" w:cs="Arial"/>
          <w:b/>
          <w:sz w:val="28"/>
          <w:szCs w:val="28"/>
        </w:rPr>
        <w:t xml:space="preserve">DECRETO </w:t>
      </w:r>
      <w:r>
        <w:rPr>
          <w:rFonts w:ascii="Arial" w:eastAsia="Arial" w:hAnsi="Arial" w:cs="Arial"/>
          <w:sz w:val="28"/>
          <w:szCs w:val="28"/>
        </w:rPr>
        <w:t xml:space="preserve">que reforma y adiciona diversas disposiciones de la Ley de Vialidad y Tránsito para el Estado de Chihuahua, a fin de prohibir el </w:t>
      </w:r>
      <w:proofErr w:type="spellStart"/>
      <w:r>
        <w:rPr>
          <w:rFonts w:ascii="Arial" w:eastAsia="Arial" w:hAnsi="Arial" w:cs="Arial"/>
          <w:sz w:val="28"/>
          <w:szCs w:val="28"/>
        </w:rPr>
        <w:t>replaqueo</w:t>
      </w:r>
      <w:proofErr w:type="spellEnd"/>
      <w:r>
        <w:rPr>
          <w:rFonts w:ascii="Arial" w:eastAsia="Arial" w:hAnsi="Arial" w:cs="Arial"/>
          <w:sz w:val="28"/>
          <w:szCs w:val="28"/>
        </w:rPr>
        <w:t xml:space="preserve"> vehicular, regular el carácter permanente de las placas refrendadas por medio de hologramas, lo anterior conforme a la siguiente:</w:t>
      </w:r>
    </w:p>
    <w:p w14:paraId="268002D0" w14:textId="77777777" w:rsidR="00A42AAE" w:rsidRDefault="00A42AAE">
      <w:pPr>
        <w:spacing w:line="360" w:lineRule="auto"/>
        <w:jc w:val="both"/>
        <w:rPr>
          <w:rFonts w:ascii="Arial" w:eastAsia="Arial" w:hAnsi="Arial" w:cs="Arial"/>
          <w:sz w:val="32"/>
          <w:szCs w:val="32"/>
        </w:rPr>
      </w:pPr>
    </w:p>
    <w:p w14:paraId="17F8ABD9" w14:textId="77777777" w:rsidR="00A42AAE" w:rsidRDefault="00A42AAE">
      <w:pPr>
        <w:spacing w:line="360" w:lineRule="auto"/>
        <w:jc w:val="both"/>
        <w:rPr>
          <w:rFonts w:ascii="Arial" w:eastAsia="Arial" w:hAnsi="Arial" w:cs="Arial"/>
          <w:sz w:val="32"/>
          <w:szCs w:val="32"/>
        </w:rPr>
      </w:pPr>
    </w:p>
    <w:p w14:paraId="39E565D8" w14:textId="77777777" w:rsidR="00A42AAE" w:rsidRDefault="00000000">
      <w:pPr>
        <w:spacing w:line="360" w:lineRule="auto"/>
        <w:jc w:val="center"/>
        <w:rPr>
          <w:rFonts w:ascii="Arial" w:eastAsia="Arial" w:hAnsi="Arial" w:cs="Arial"/>
          <w:b/>
          <w:color w:val="000000"/>
          <w:sz w:val="30"/>
          <w:szCs w:val="30"/>
        </w:rPr>
      </w:pPr>
      <w:r>
        <w:rPr>
          <w:rFonts w:ascii="Arial" w:eastAsia="Arial" w:hAnsi="Arial" w:cs="Arial"/>
          <w:b/>
          <w:color w:val="000000"/>
          <w:sz w:val="30"/>
          <w:szCs w:val="30"/>
        </w:rPr>
        <w:lastRenderedPageBreak/>
        <w:t>EXPOSICIÓN DE MOTIVOS.</w:t>
      </w:r>
    </w:p>
    <w:p w14:paraId="3080EA48" w14:textId="77777777" w:rsidR="00A42AAE" w:rsidRDefault="00000000">
      <w:pPr>
        <w:widowControl w:val="0"/>
        <w:spacing w:after="240" w:line="275" w:lineRule="auto"/>
        <w:jc w:val="both"/>
        <w:rPr>
          <w:rFonts w:ascii="Arial" w:eastAsia="Arial" w:hAnsi="Arial" w:cs="Arial"/>
          <w:color w:val="1B1C1D"/>
          <w:sz w:val="30"/>
          <w:szCs w:val="30"/>
        </w:rPr>
      </w:pPr>
      <w:r>
        <w:rPr>
          <w:rFonts w:ascii="Arial" w:eastAsia="Arial" w:hAnsi="Arial" w:cs="Arial"/>
          <w:color w:val="1B1C1D"/>
          <w:sz w:val="30"/>
          <w:szCs w:val="30"/>
        </w:rPr>
        <w:t xml:space="preserve">En Chihuahua, como es costumbre para cada administración de Gobierno del Estado, ya sea del PRI o del PAN, ejercen injustificadamente el </w:t>
      </w:r>
      <w:proofErr w:type="spellStart"/>
      <w:r>
        <w:rPr>
          <w:rFonts w:ascii="Arial" w:eastAsia="Arial" w:hAnsi="Arial" w:cs="Arial"/>
          <w:color w:val="1B1C1D"/>
          <w:sz w:val="30"/>
          <w:szCs w:val="30"/>
        </w:rPr>
        <w:t>replaqueo</w:t>
      </w:r>
      <w:proofErr w:type="spellEnd"/>
      <w:r>
        <w:rPr>
          <w:rFonts w:ascii="Arial" w:eastAsia="Arial" w:hAnsi="Arial" w:cs="Arial"/>
          <w:color w:val="1B1C1D"/>
          <w:sz w:val="30"/>
          <w:szCs w:val="30"/>
        </w:rPr>
        <w:t xml:space="preserve"> vehicular, tal como lo vivimos en el año 2022. El </w:t>
      </w:r>
      <w:proofErr w:type="spellStart"/>
      <w:r>
        <w:rPr>
          <w:rFonts w:ascii="Arial" w:eastAsia="Arial" w:hAnsi="Arial" w:cs="Arial"/>
          <w:color w:val="1B1C1D"/>
          <w:sz w:val="30"/>
          <w:szCs w:val="30"/>
        </w:rPr>
        <w:t>replaqueo</w:t>
      </w:r>
      <w:proofErr w:type="spellEnd"/>
      <w:r>
        <w:rPr>
          <w:rFonts w:ascii="Arial" w:eastAsia="Arial" w:hAnsi="Arial" w:cs="Arial"/>
          <w:color w:val="1B1C1D"/>
          <w:sz w:val="30"/>
          <w:szCs w:val="30"/>
        </w:rPr>
        <w:t>, en combinación a la revalidación anual, representa junto a los diversos cobros extra, es una carga financiera injusta para las familias chihuahuenses.</w:t>
      </w:r>
    </w:p>
    <w:p w14:paraId="5CA8ABB0" w14:textId="77777777" w:rsidR="00A42AAE" w:rsidRDefault="00000000">
      <w:pPr>
        <w:widowControl w:val="0"/>
        <w:spacing w:after="240" w:line="275" w:lineRule="auto"/>
        <w:jc w:val="both"/>
        <w:rPr>
          <w:rFonts w:ascii="Arial" w:eastAsia="Arial" w:hAnsi="Arial" w:cs="Arial"/>
          <w:color w:val="1B1C1D"/>
          <w:sz w:val="30"/>
          <w:szCs w:val="30"/>
        </w:rPr>
      </w:pPr>
      <w:r>
        <w:rPr>
          <w:rFonts w:ascii="Arial" w:eastAsia="Arial" w:hAnsi="Arial" w:cs="Arial"/>
          <w:color w:val="1B1C1D"/>
          <w:sz w:val="30"/>
          <w:szCs w:val="30"/>
        </w:rPr>
        <w:t xml:space="preserve">No existe un sistema actual de </w:t>
      </w:r>
      <w:proofErr w:type="spellStart"/>
      <w:r>
        <w:rPr>
          <w:rFonts w:ascii="Arial" w:eastAsia="Arial" w:hAnsi="Arial" w:cs="Arial"/>
          <w:color w:val="1B1C1D"/>
          <w:sz w:val="30"/>
          <w:szCs w:val="30"/>
        </w:rPr>
        <w:t>reemplacamiento</w:t>
      </w:r>
      <w:proofErr w:type="spellEnd"/>
      <w:r>
        <w:rPr>
          <w:rFonts w:ascii="Arial" w:eastAsia="Arial" w:hAnsi="Arial" w:cs="Arial"/>
          <w:color w:val="1B1C1D"/>
          <w:sz w:val="30"/>
          <w:szCs w:val="30"/>
        </w:rPr>
        <w:t xml:space="preserve"> vehicular obligatorio en Chihuahua, pues este no está regulado, lo cual representa </w:t>
      </w:r>
      <w:proofErr w:type="gramStart"/>
      <w:r>
        <w:rPr>
          <w:rFonts w:ascii="Arial" w:eastAsia="Arial" w:hAnsi="Arial" w:cs="Arial"/>
          <w:color w:val="1B1C1D"/>
          <w:sz w:val="30"/>
          <w:szCs w:val="30"/>
        </w:rPr>
        <w:t>un zona gris</w:t>
      </w:r>
      <w:proofErr w:type="gramEnd"/>
      <w:r>
        <w:rPr>
          <w:rFonts w:ascii="Arial" w:eastAsia="Arial" w:hAnsi="Arial" w:cs="Arial"/>
          <w:color w:val="1B1C1D"/>
          <w:sz w:val="30"/>
          <w:szCs w:val="30"/>
        </w:rPr>
        <w:t xml:space="preserve"> que ha permitido implementar el </w:t>
      </w:r>
      <w:proofErr w:type="spellStart"/>
      <w:r>
        <w:rPr>
          <w:rFonts w:ascii="Arial" w:eastAsia="Arial" w:hAnsi="Arial" w:cs="Arial"/>
          <w:color w:val="1B1C1D"/>
          <w:sz w:val="30"/>
          <w:szCs w:val="30"/>
        </w:rPr>
        <w:t>replaqueo</w:t>
      </w:r>
      <w:proofErr w:type="spellEnd"/>
      <w:r>
        <w:rPr>
          <w:rFonts w:ascii="Arial" w:eastAsia="Arial" w:hAnsi="Arial" w:cs="Arial"/>
          <w:color w:val="1B1C1D"/>
          <w:sz w:val="30"/>
          <w:szCs w:val="30"/>
        </w:rPr>
        <w:t xml:space="preserve"> irregularmente, generando con ello una serie de costos directos e indirectos para la ciudadanía.</w:t>
      </w:r>
    </w:p>
    <w:p w14:paraId="4DCF6F7B" w14:textId="77777777" w:rsidR="00A42AAE" w:rsidRDefault="00000000">
      <w:pPr>
        <w:widowControl w:val="0"/>
        <w:spacing w:after="240" w:line="275" w:lineRule="auto"/>
        <w:jc w:val="both"/>
        <w:rPr>
          <w:rFonts w:ascii="Arial" w:eastAsia="Arial" w:hAnsi="Arial" w:cs="Arial"/>
          <w:color w:val="1B1C1D"/>
          <w:sz w:val="30"/>
          <w:szCs w:val="30"/>
        </w:rPr>
      </w:pPr>
      <w:r>
        <w:rPr>
          <w:rFonts w:ascii="Arial" w:eastAsia="Arial" w:hAnsi="Arial" w:cs="Arial"/>
          <w:color w:val="1B1C1D"/>
          <w:sz w:val="30"/>
          <w:szCs w:val="30"/>
        </w:rPr>
        <w:t xml:space="preserve">Entre los costos directos para las familias se encuentran, dependiendo del modelo del vehículo y la fecha de pago, costos por la revalidación anual, de $1,303 a los $2,544 pesos en 2024, y en 2025 entre los $1,408 hasta los $2,649 pesos. A lo que se suman, claro, el derecho de control vehicular, la tarjeta de circulación, la contribución a la Cruz Roja y el impuesto universitario. En el 2022, el </w:t>
      </w:r>
      <w:proofErr w:type="spellStart"/>
      <w:r>
        <w:rPr>
          <w:rFonts w:ascii="Arial" w:eastAsia="Arial" w:hAnsi="Arial" w:cs="Arial"/>
          <w:color w:val="1B1C1D"/>
          <w:sz w:val="30"/>
          <w:szCs w:val="30"/>
        </w:rPr>
        <w:t>reemplacamiento</w:t>
      </w:r>
      <w:proofErr w:type="spellEnd"/>
      <w:r>
        <w:rPr>
          <w:rFonts w:ascii="Arial" w:eastAsia="Arial" w:hAnsi="Arial" w:cs="Arial"/>
          <w:color w:val="1B1C1D"/>
          <w:sz w:val="30"/>
          <w:szCs w:val="30"/>
        </w:rPr>
        <w:t xml:space="preserve"> obligatorio sumó más de $644 pesos por vehículo. Eso, sin mencionar el costo por el incumplimiento de lo </w:t>
      </w:r>
      <w:proofErr w:type="gramStart"/>
      <w:r>
        <w:rPr>
          <w:rFonts w:ascii="Arial" w:eastAsia="Arial" w:hAnsi="Arial" w:cs="Arial"/>
          <w:color w:val="1B1C1D"/>
          <w:sz w:val="30"/>
          <w:szCs w:val="30"/>
        </w:rPr>
        <w:t>que</w:t>
      </w:r>
      <w:proofErr w:type="gramEnd"/>
      <w:r>
        <w:rPr>
          <w:rFonts w:ascii="Arial" w:eastAsia="Arial" w:hAnsi="Arial" w:cs="Arial"/>
          <w:color w:val="1B1C1D"/>
          <w:sz w:val="30"/>
          <w:szCs w:val="30"/>
        </w:rPr>
        <w:t xml:space="preserve"> en principio, es un cobro injusto.</w:t>
      </w:r>
    </w:p>
    <w:p w14:paraId="29F494C8" w14:textId="77777777" w:rsidR="00A42AAE" w:rsidRDefault="00000000">
      <w:pPr>
        <w:widowControl w:val="0"/>
        <w:spacing w:after="240" w:line="275" w:lineRule="auto"/>
        <w:jc w:val="both"/>
        <w:rPr>
          <w:rFonts w:ascii="Arial" w:eastAsia="Arial" w:hAnsi="Arial" w:cs="Arial"/>
          <w:color w:val="1B1C1D"/>
          <w:sz w:val="30"/>
          <w:szCs w:val="30"/>
        </w:rPr>
      </w:pPr>
      <w:r>
        <w:rPr>
          <w:rFonts w:ascii="Arial" w:eastAsia="Arial" w:hAnsi="Arial" w:cs="Arial"/>
          <w:color w:val="1B1C1D"/>
          <w:sz w:val="30"/>
          <w:szCs w:val="30"/>
        </w:rPr>
        <w:t xml:space="preserve">La no regulación de la vigencia de las placas </w:t>
      </w:r>
      <w:proofErr w:type="gramStart"/>
      <w:r>
        <w:rPr>
          <w:rFonts w:ascii="Arial" w:eastAsia="Arial" w:hAnsi="Arial" w:cs="Arial"/>
          <w:color w:val="1B1C1D"/>
          <w:sz w:val="30"/>
          <w:szCs w:val="30"/>
        </w:rPr>
        <w:t>vehiculares,</w:t>
      </w:r>
      <w:proofErr w:type="gramEnd"/>
      <w:r>
        <w:rPr>
          <w:rFonts w:ascii="Arial" w:eastAsia="Arial" w:hAnsi="Arial" w:cs="Arial"/>
          <w:color w:val="1B1C1D"/>
          <w:sz w:val="30"/>
          <w:szCs w:val="30"/>
        </w:rPr>
        <w:t xml:space="preserve"> es con seguridad la garantía de futuros </w:t>
      </w:r>
      <w:proofErr w:type="spellStart"/>
      <w:r>
        <w:rPr>
          <w:rFonts w:ascii="Arial" w:eastAsia="Arial" w:hAnsi="Arial" w:cs="Arial"/>
          <w:color w:val="1B1C1D"/>
          <w:sz w:val="30"/>
          <w:szCs w:val="30"/>
        </w:rPr>
        <w:t>replaqueos</w:t>
      </w:r>
      <w:proofErr w:type="spellEnd"/>
      <w:r>
        <w:rPr>
          <w:rFonts w:ascii="Arial" w:eastAsia="Arial" w:hAnsi="Arial" w:cs="Arial"/>
          <w:color w:val="1B1C1D"/>
          <w:sz w:val="30"/>
          <w:szCs w:val="30"/>
        </w:rPr>
        <w:t xml:space="preserve"> y sus consecuencias adversas en el bienestar de Chihuahua.</w:t>
      </w:r>
    </w:p>
    <w:p w14:paraId="26FC80FE" w14:textId="77777777" w:rsidR="00A42AAE" w:rsidRDefault="00000000">
      <w:pPr>
        <w:widowControl w:val="0"/>
        <w:spacing w:after="240" w:line="275" w:lineRule="auto"/>
        <w:jc w:val="both"/>
        <w:rPr>
          <w:rFonts w:ascii="Arial" w:eastAsia="Arial" w:hAnsi="Arial" w:cs="Arial"/>
          <w:color w:val="1B1C1D"/>
          <w:sz w:val="30"/>
          <w:szCs w:val="30"/>
        </w:rPr>
      </w:pPr>
      <w:r>
        <w:rPr>
          <w:rFonts w:ascii="Arial" w:eastAsia="Arial" w:hAnsi="Arial" w:cs="Arial"/>
          <w:color w:val="1B1C1D"/>
          <w:sz w:val="30"/>
          <w:szCs w:val="30"/>
        </w:rPr>
        <w:t xml:space="preserve">Es importante hacer notar, como lo hizo hacer notar en la </w:t>
      </w:r>
      <w:r>
        <w:rPr>
          <w:rFonts w:ascii="Arial" w:eastAsia="Arial" w:hAnsi="Arial" w:cs="Arial"/>
          <w:color w:val="1B1C1D"/>
          <w:sz w:val="30"/>
          <w:szCs w:val="30"/>
        </w:rPr>
        <w:lastRenderedPageBreak/>
        <w:t xml:space="preserve">legislatura pasada el </w:t>
      </w:r>
      <w:proofErr w:type="spellStart"/>
      <w:r>
        <w:rPr>
          <w:rFonts w:ascii="Arial" w:eastAsia="Arial" w:hAnsi="Arial" w:cs="Arial"/>
          <w:color w:val="1B1C1D"/>
          <w:sz w:val="30"/>
          <w:szCs w:val="30"/>
        </w:rPr>
        <w:t>Dip</w:t>
      </w:r>
      <w:proofErr w:type="spellEnd"/>
      <w:r>
        <w:rPr>
          <w:rFonts w:ascii="Arial" w:eastAsia="Arial" w:hAnsi="Arial" w:cs="Arial"/>
          <w:color w:val="1B1C1D"/>
          <w:sz w:val="30"/>
          <w:szCs w:val="30"/>
        </w:rPr>
        <w:t xml:space="preserve">. Benjamín Carrera, que la producción de las placas metálicas para la identificación de vehículos era con un costo de producción de 180 pesos aproximadamente, evidenciando, que el resto es un cobro meramente recaudatorio. </w:t>
      </w:r>
      <w:proofErr w:type="gramStart"/>
      <w:r>
        <w:rPr>
          <w:rFonts w:ascii="Arial" w:eastAsia="Arial" w:hAnsi="Arial" w:cs="Arial"/>
          <w:color w:val="1B1C1D"/>
          <w:sz w:val="30"/>
          <w:szCs w:val="30"/>
        </w:rPr>
        <w:t>,</w:t>
      </w:r>
      <w:proofErr w:type="spellStart"/>
      <w:r>
        <w:rPr>
          <w:rFonts w:ascii="Arial" w:eastAsia="Arial" w:hAnsi="Arial" w:cs="Arial"/>
          <w:color w:val="1B1C1D"/>
          <w:sz w:val="30"/>
          <w:szCs w:val="30"/>
        </w:rPr>
        <w:t>uestra</w:t>
      </w:r>
      <w:proofErr w:type="spellEnd"/>
      <w:proofErr w:type="gramEnd"/>
      <w:r>
        <w:rPr>
          <w:rFonts w:ascii="Arial" w:eastAsia="Arial" w:hAnsi="Arial" w:cs="Arial"/>
          <w:color w:val="1B1C1D"/>
          <w:sz w:val="30"/>
          <w:szCs w:val="30"/>
        </w:rPr>
        <w:t xml:space="preserve"> de ello es el Estado de Tlaxcala que tiene para 2025 un </w:t>
      </w:r>
      <w:proofErr w:type="spellStart"/>
      <w:r>
        <w:rPr>
          <w:rFonts w:ascii="Arial" w:eastAsia="Arial" w:hAnsi="Arial" w:cs="Arial"/>
          <w:color w:val="1B1C1D"/>
          <w:sz w:val="30"/>
          <w:szCs w:val="30"/>
        </w:rPr>
        <w:t>replaqueo</w:t>
      </w:r>
      <w:proofErr w:type="spellEnd"/>
      <w:r>
        <w:rPr>
          <w:rFonts w:ascii="Arial" w:eastAsia="Arial" w:hAnsi="Arial" w:cs="Arial"/>
          <w:color w:val="1B1C1D"/>
          <w:sz w:val="30"/>
          <w:szCs w:val="30"/>
        </w:rPr>
        <w:t xml:space="preserve"> con costo de 235 pesos</w:t>
      </w:r>
    </w:p>
    <w:p w14:paraId="3FED5CED" w14:textId="77777777" w:rsidR="00A42AAE" w:rsidRDefault="00000000">
      <w:pPr>
        <w:widowControl w:val="0"/>
        <w:spacing w:after="240" w:line="275" w:lineRule="auto"/>
        <w:jc w:val="both"/>
        <w:rPr>
          <w:rFonts w:ascii="Arial" w:eastAsia="Arial" w:hAnsi="Arial" w:cs="Arial"/>
          <w:color w:val="1B1C1D"/>
          <w:sz w:val="30"/>
          <w:szCs w:val="30"/>
        </w:rPr>
      </w:pPr>
      <w:r>
        <w:rPr>
          <w:rFonts w:ascii="Arial" w:eastAsia="Arial" w:hAnsi="Arial" w:cs="Arial"/>
          <w:color w:val="1B1C1D"/>
          <w:sz w:val="30"/>
          <w:szCs w:val="30"/>
        </w:rPr>
        <w:t xml:space="preserve">Además, existen mecanismos alternativos que pueden garantizar la precisión del padrón vehicular, como la utilización de hologramas. Tal como lo refiere la norma oficial mexicana, que garantiza un padrón vehicular mediante un </w:t>
      </w:r>
      <w:r>
        <w:rPr>
          <w:rFonts w:ascii="Arial" w:eastAsia="Arial" w:hAnsi="Arial" w:cs="Arial"/>
          <w:b/>
          <w:color w:val="1B1C1D"/>
          <w:sz w:val="30"/>
          <w:szCs w:val="30"/>
        </w:rPr>
        <w:t xml:space="preserve">refrendo anual, </w:t>
      </w:r>
      <w:r>
        <w:rPr>
          <w:rFonts w:ascii="Arial" w:eastAsia="Arial" w:hAnsi="Arial" w:cs="Arial"/>
          <w:color w:val="1B1C1D"/>
          <w:sz w:val="30"/>
          <w:szCs w:val="30"/>
        </w:rPr>
        <w:t xml:space="preserve">es una de las </w:t>
      </w:r>
      <w:proofErr w:type="gramStart"/>
      <w:r>
        <w:rPr>
          <w:rFonts w:ascii="Arial" w:eastAsia="Arial" w:hAnsi="Arial" w:cs="Arial"/>
          <w:color w:val="1B1C1D"/>
          <w:sz w:val="30"/>
          <w:szCs w:val="30"/>
        </w:rPr>
        <w:t>mejores  alternativas</w:t>
      </w:r>
      <w:proofErr w:type="gramEnd"/>
      <w:r>
        <w:rPr>
          <w:rFonts w:ascii="Arial" w:eastAsia="Arial" w:hAnsi="Arial" w:cs="Arial"/>
          <w:color w:val="1B1C1D"/>
          <w:sz w:val="30"/>
          <w:szCs w:val="30"/>
        </w:rPr>
        <w:t xml:space="preserve">. Un holograma perfectamente coexistente con </w:t>
      </w:r>
      <w:proofErr w:type="gramStart"/>
      <w:r>
        <w:rPr>
          <w:rFonts w:ascii="Arial" w:eastAsia="Arial" w:hAnsi="Arial" w:cs="Arial"/>
          <w:color w:val="1B1C1D"/>
          <w:sz w:val="30"/>
          <w:szCs w:val="30"/>
        </w:rPr>
        <w:t>un sistemas</w:t>
      </w:r>
      <w:proofErr w:type="gramEnd"/>
      <w:r>
        <w:rPr>
          <w:rFonts w:ascii="Arial" w:eastAsia="Arial" w:hAnsi="Arial" w:cs="Arial"/>
          <w:color w:val="1B1C1D"/>
          <w:sz w:val="30"/>
          <w:szCs w:val="30"/>
        </w:rPr>
        <w:t xml:space="preserve"> de placas permanentes como ya sucede, por ejemplo, en la Ciudad de México, Veracruz o Morelos.</w:t>
      </w:r>
    </w:p>
    <w:p w14:paraId="1012C2F9" w14:textId="77777777" w:rsidR="00A42AAE" w:rsidRDefault="00000000">
      <w:pPr>
        <w:widowControl w:val="0"/>
        <w:spacing w:after="240" w:line="275" w:lineRule="auto"/>
        <w:jc w:val="both"/>
        <w:rPr>
          <w:rFonts w:ascii="Arial" w:eastAsia="Arial" w:hAnsi="Arial" w:cs="Arial"/>
          <w:color w:val="1B1C1D"/>
          <w:sz w:val="30"/>
          <w:szCs w:val="30"/>
        </w:rPr>
      </w:pPr>
      <w:r>
        <w:rPr>
          <w:rFonts w:ascii="Arial" w:eastAsia="Arial" w:hAnsi="Arial" w:cs="Arial"/>
          <w:color w:val="1B1C1D"/>
          <w:sz w:val="30"/>
          <w:szCs w:val="30"/>
        </w:rPr>
        <w:t xml:space="preserve">Ahora bien, ninguna de las imposiciones de </w:t>
      </w:r>
      <w:proofErr w:type="spellStart"/>
      <w:r>
        <w:rPr>
          <w:rFonts w:ascii="Arial" w:eastAsia="Arial" w:hAnsi="Arial" w:cs="Arial"/>
          <w:color w:val="1B1C1D"/>
          <w:sz w:val="30"/>
          <w:szCs w:val="30"/>
        </w:rPr>
        <w:t>replaqueo</w:t>
      </w:r>
      <w:proofErr w:type="spellEnd"/>
      <w:r>
        <w:rPr>
          <w:rFonts w:ascii="Arial" w:eastAsia="Arial" w:hAnsi="Arial" w:cs="Arial"/>
          <w:color w:val="1B1C1D"/>
          <w:sz w:val="30"/>
          <w:szCs w:val="30"/>
        </w:rPr>
        <w:t xml:space="preserve"> ha procurado </w:t>
      </w:r>
      <w:r>
        <w:rPr>
          <w:rFonts w:ascii="Arial" w:eastAsia="Arial" w:hAnsi="Arial" w:cs="Arial"/>
          <w:b/>
          <w:color w:val="1B1C1D"/>
          <w:sz w:val="30"/>
          <w:szCs w:val="30"/>
        </w:rPr>
        <w:t xml:space="preserve">verificar físicamente los vehiculares, sólo se admiten y validan las documentaciones, por lo que, quienes por corrupción o falsificación de papeles circulaban con </w:t>
      </w:r>
      <w:proofErr w:type="gramStart"/>
      <w:r>
        <w:rPr>
          <w:rFonts w:ascii="Arial" w:eastAsia="Arial" w:hAnsi="Arial" w:cs="Arial"/>
          <w:b/>
          <w:color w:val="1B1C1D"/>
          <w:sz w:val="30"/>
          <w:szCs w:val="30"/>
        </w:rPr>
        <w:t>un vehículos no correspondientes</w:t>
      </w:r>
      <w:proofErr w:type="gramEnd"/>
      <w:r>
        <w:rPr>
          <w:rFonts w:ascii="Arial" w:eastAsia="Arial" w:hAnsi="Arial" w:cs="Arial"/>
          <w:b/>
          <w:color w:val="1B1C1D"/>
          <w:sz w:val="30"/>
          <w:szCs w:val="30"/>
        </w:rPr>
        <w:t xml:space="preserve"> a la documentación, o los que se dedican al robo de vehículos, pueden seguir vendiendo unidades robadas con documentación oficial</w:t>
      </w:r>
      <w:r>
        <w:rPr>
          <w:rFonts w:ascii="Arial" w:eastAsia="Arial" w:hAnsi="Arial" w:cs="Arial"/>
          <w:color w:val="1B1C1D"/>
          <w:sz w:val="30"/>
          <w:szCs w:val="30"/>
        </w:rPr>
        <w:t>. Si bien su objetivo principal es garantizar la seguridad vial y lograr un padrón vehicular que refuerce las acciones contra la inseguridad, lo único logrado ha sido lastimar el bolsillo de las familias.</w:t>
      </w:r>
    </w:p>
    <w:p w14:paraId="3ACE79E3" w14:textId="77777777" w:rsidR="00A42AAE" w:rsidRDefault="00A42AAE">
      <w:pPr>
        <w:pStyle w:val="Ttulo2"/>
        <w:keepNext w:val="0"/>
        <w:keepLines w:val="0"/>
        <w:widowControl w:val="0"/>
        <w:spacing w:before="0" w:after="120" w:line="275" w:lineRule="auto"/>
        <w:jc w:val="both"/>
        <w:rPr>
          <w:rFonts w:ascii="Arial" w:eastAsia="Arial" w:hAnsi="Arial" w:cs="Arial"/>
          <w:b/>
          <w:color w:val="1B1C1D"/>
          <w:sz w:val="30"/>
          <w:szCs w:val="30"/>
        </w:rPr>
      </w:pPr>
    </w:p>
    <w:p w14:paraId="1E26D27B" w14:textId="77777777" w:rsidR="00A42AAE" w:rsidRDefault="00000000">
      <w:pPr>
        <w:widowControl w:val="0"/>
        <w:spacing w:after="240" w:line="275" w:lineRule="auto"/>
        <w:jc w:val="both"/>
        <w:rPr>
          <w:rFonts w:ascii="Arial" w:eastAsia="Arial" w:hAnsi="Arial" w:cs="Arial"/>
          <w:color w:val="1B1C1D"/>
          <w:sz w:val="30"/>
          <w:szCs w:val="30"/>
        </w:rPr>
      </w:pPr>
      <w:r>
        <w:rPr>
          <w:rFonts w:ascii="Arial" w:eastAsia="Arial" w:hAnsi="Arial" w:cs="Arial"/>
          <w:color w:val="1B1C1D"/>
          <w:sz w:val="30"/>
          <w:szCs w:val="30"/>
        </w:rPr>
        <w:t xml:space="preserve">Una opción en otros Estado de la República es mantener la vigencia o extenderla mediante un </w:t>
      </w:r>
      <w:r>
        <w:rPr>
          <w:rFonts w:ascii="Arial" w:eastAsia="Arial" w:hAnsi="Arial" w:cs="Arial"/>
          <w:b/>
          <w:color w:val="1B1C1D"/>
          <w:sz w:val="30"/>
          <w:szCs w:val="30"/>
        </w:rPr>
        <w:t xml:space="preserve">refrendo </w:t>
      </w:r>
      <w:proofErr w:type="gramStart"/>
      <w:r>
        <w:rPr>
          <w:rFonts w:ascii="Arial" w:eastAsia="Arial" w:hAnsi="Arial" w:cs="Arial"/>
          <w:b/>
          <w:color w:val="1B1C1D"/>
          <w:sz w:val="30"/>
          <w:szCs w:val="30"/>
        </w:rPr>
        <w:t>anual  que</w:t>
      </w:r>
      <w:proofErr w:type="gramEnd"/>
      <w:r>
        <w:rPr>
          <w:rFonts w:ascii="Arial" w:eastAsia="Arial" w:hAnsi="Arial" w:cs="Arial"/>
          <w:b/>
          <w:color w:val="1B1C1D"/>
          <w:sz w:val="30"/>
          <w:szCs w:val="30"/>
        </w:rPr>
        <w:t xml:space="preserve"> se </w:t>
      </w:r>
      <w:r>
        <w:rPr>
          <w:rFonts w:ascii="Arial" w:eastAsia="Arial" w:hAnsi="Arial" w:cs="Arial"/>
          <w:b/>
          <w:color w:val="1B1C1D"/>
          <w:sz w:val="30"/>
          <w:szCs w:val="30"/>
        </w:rPr>
        <w:lastRenderedPageBreak/>
        <w:t>comprueba mediante una calcomanía u holograma.</w:t>
      </w:r>
      <w:r>
        <w:rPr>
          <w:rFonts w:ascii="Arial" w:eastAsia="Arial" w:hAnsi="Arial" w:cs="Arial"/>
          <w:color w:val="1B1C1D"/>
          <w:sz w:val="30"/>
          <w:szCs w:val="30"/>
        </w:rPr>
        <w:t xml:space="preserve"> Administrativamente, el sistema del refrendo de información es mucho más eficiente</w:t>
      </w:r>
    </w:p>
    <w:p w14:paraId="52658A6E" w14:textId="77777777" w:rsidR="00A42AAE" w:rsidRDefault="00000000">
      <w:pPr>
        <w:widowControl w:val="0"/>
        <w:spacing w:after="240" w:line="275" w:lineRule="auto"/>
        <w:jc w:val="both"/>
        <w:rPr>
          <w:rFonts w:ascii="Arial" w:eastAsia="Arial" w:hAnsi="Arial" w:cs="Arial"/>
          <w:color w:val="1B1C1D"/>
          <w:sz w:val="30"/>
          <w:szCs w:val="30"/>
        </w:rPr>
      </w:pPr>
      <w:r>
        <w:rPr>
          <w:rFonts w:ascii="Arial" w:eastAsia="Arial" w:hAnsi="Arial" w:cs="Arial"/>
          <w:color w:val="1B1C1D"/>
          <w:sz w:val="30"/>
          <w:szCs w:val="30"/>
        </w:rPr>
        <w:t xml:space="preserve">Los refrendos anuales fortalecen la detección de anomalías por el flujo de información constante de los vehículos, lo cual puede llevar a </w:t>
      </w:r>
      <w:r>
        <w:rPr>
          <w:rFonts w:ascii="Arial" w:eastAsia="Arial" w:hAnsi="Arial" w:cs="Arial"/>
          <w:b/>
          <w:color w:val="1B1C1D"/>
          <w:sz w:val="30"/>
          <w:szCs w:val="30"/>
        </w:rPr>
        <w:t xml:space="preserve">inspecciones vehiculares en casos donde se requiera, </w:t>
      </w:r>
      <w:r>
        <w:rPr>
          <w:rFonts w:ascii="Arial" w:eastAsia="Arial" w:hAnsi="Arial" w:cs="Arial"/>
          <w:color w:val="1B1C1D"/>
          <w:sz w:val="30"/>
          <w:szCs w:val="30"/>
        </w:rPr>
        <w:t xml:space="preserve">y así garantizar que los vehículos cumplan con estándares mínimos de propiedad y seguridad vial. </w:t>
      </w:r>
    </w:p>
    <w:p w14:paraId="1C7C7E52" w14:textId="77777777" w:rsidR="00A42AAE" w:rsidRDefault="00000000">
      <w:pPr>
        <w:widowControl w:val="0"/>
        <w:spacing w:before="120" w:after="120" w:line="275" w:lineRule="auto"/>
        <w:jc w:val="both"/>
        <w:rPr>
          <w:rFonts w:ascii="Arial" w:eastAsia="Arial" w:hAnsi="Arial" w:cs="Arial"/>
          <w:color w:val="1B1C1D"/>
          <w:sz w:val="30"/>
          <w:szCs w:val="30"/>
        </w:rPr>
      </w:pPr>
      <w:r>
        <w:rPr>
          <w:rFonts w:ascii="Arial" w:eastAsia="Arial" w:hAnsi="Arial" w:cs="Arial"/>
          <w:color w:val="1B1C1D"/>
          <w:sz w:val="30"/>
          <w:szCs w:val="30"/>
        </w:rPr>
        <w:t>Resulta importante y útil estudiar detalladamente los modelos de sistemas de placas permanentes exitosos en estados como la Ciudad de México, Oaxaca, Morelos y Baja California Sur, pero para efectos de la presente iniciativa resulta importante prestar especial atención a los marcos legales de Baja California, Yucatán o Sinaloa.</w:t>
      </w:r>
    </w:p>
    <w:p w14:paraId="6F06D9E4" w14:textId="77777777" w:rsidR="00A42AAE" w:rsidRDefault="00000000">
      <w:pPr>
        <w:widowControl w:val="0"/>
        <w:spacing w:after="240" w:line="275" w:lineRule="auto"/>
        <w:jc w:val="both"/>
        <w:rPr>
          <w:rFonts w:ascii="Arial" w:eastAsia="Arial" w:hAnsi="Arial" w:cs="Arial"/>
          <w:color w:val="1B1C1D"/>
          <w:sz w:val="30"/>
          <w:szCs w:val="30"/>
        </w:rPr>
      </w:pPr>
      <w:r>
        <w:rPr>
          <w:rFonts w:ascii="Arial" w:eastAsia="Arial" w:hAnsi="Arial" w:cs="Arial"/>
          <w:color w:val="1B1C1D"/>
          <w:sz w:val="30"/>
          <w:szCs w:val="30"/>
        </w:rPr>
        <w:t xml:space="preserve">La experiencia de otros estados como Baja California, que emitió un decreto para extender indefinidamente el canje de placas en 2017 y argumento en el Decreto correspondiente que lo anterior era factible pues los criterios mínimos de seguridad en las placas estaba cubierto, o el caso de Yucatán que tiene facultades expresas el ejecutivo estatal para ampliar el </w:t>
      </w:r>
      <w:proofErr w:type="spellStart"/>
      <w:r>
        <w:rPr>
          <w:rFonts w:ascii="Arial" w:eastAsia="Arial" w:hAnsi="Arial" w:cs="Arial"/>
          <w:color w:val="1B1C1D"/>
          <w:sz w:val="30"/>
          <w:szCs w:val="30"/>
        </w:rPr>
        <w:t>replaqueo</w:t>
      </w:r>
      <w:proofErr w:type="spellEnd"/>
      <w:r>
        <w:rPr>
          <w:rFonts w:ascii="Arial" w:eastAsia="Arial" w:hAnsi="Arial" w:cs="Arial"/>
          <w:color w:val="1B1C1D"/>
          <w:sz w:val="30"/>
          <w:szCs w:val="30"/>
        </w:rPr>
        <w:t xml:space="preserve">, y que precisamente, el gobierno estatal de MORENA ha ejercido, además de presentar en el Congreso de allá una iniciativa en el mismo sentido que la que aquí se expresa, atiende precisamente el principio </w:t>
      </w:r>
      <w:proofErr w:type="spellStart"/>
      <w:r>
        <w:rPr>
          <w:rFonts w:ascii="Arial" w:eastAsia="Arial" w:hAnsi="Arial" w:cs="Arial"/>
          <w:color w:val="1B1C1D"/>
          <w:sz w:val="30"/>
          <w:szCs w:val="30"/>
        </w:rPr>
        <w:t>pro</w:t>
      </w:r>
      <w:proofErr w:type="spellEnd"/>
      <w:r>
        <w:rPr>
          <w:rFonts w:ascii="Arial" w:eastAsia="Arial" w:hAnsi="Arial" w:cs="Arial"/>
          <w:color w:val="1B1C1D"/>
          <w:sz w:val="30"/>
          <w:szCs w:val="30"/>
        </w:rPr>
        <w:t xml:space="preserve"> persona, cumple con los criterios de seguridad vial, logra la permanente actualización del padrón vehicular, y sobre todo, favorece a las familias de Chihuahua. </w:t>
      </w:r>
    </w:p>
    <w:p w14:paraId="74E1F251" w14:textId="77777777" w:rsidR="00A42AAE" w:rsidRDefault="00A42AAE">
      <w:pPr>
        <w:widowControl w:val="0"/>
        <w:spacing w:before="120" w:after="120" w:line="275" w:lineRule="auto"/>
        <w:jc w:val="both"/>
        <w:rPr>
          <w:rFonts w:ascii="Arial" w:eastAsia="Arial" w:hAnsi="Arial" w:cs="Arial"/>
          <w:color w:val="1B1C1D"/>
          <w:sz w:val="30"/>
          <w:szCs w:val="30"/>
        </w:rPr>
      </w:pPr>
    </w:p>
    <w:p w14:paraId="1B19FC3F" w14:textId="77777777" w:rsidR="00A42AAE" w:rsidRDefault="00000000">
      <w:pPr>
        <w:widowControl w:val="0"/>
        <w:spacing w:before="240" w:after="255" w:line="275" w:lineRule="auto"/>
        <w:jc w:val="both"/>
        <w:rPr>
          <w:rFonts w:ascii="Arial" w:eastAsia="Arial" w:hAnsi="Arial" w:cs="Arial"/>
          <w:color w:val="1B1C1D"/>
          <w:sz w:val="30"/>
          <w:szCs w:val="30"/>
        </w:rPr>
      </w:pPr>
      <w:r>
        <w:rPr>
          <w:rFonts w:ascii="Arial" w:eastAsia="Arial" w:hAnsi="Arial" w:cs="Arial"/>
          <w:color w:val="1B1C1D"/>
          <w:sz w:val="30"/>
          <w:szCs w:val="30"/>
        </w:rPr>
        <w:t xml:space="preserve">La adopción de un sistema de placas vehiculares permanentes en Chihuahua podría aliviar la carga económica de los ciudadanos, optimizar los procesos administrativos del gobierno y tener un impacto ambiental positivo. </w:t>
      </w:r>
    </w:p>
    <w:p w14:paraId="4EEEC93D" w14:textId="77777777" w:rsidR="00A42AAE" w:rsidRDefault="00000000">
      <w:pPr>
        <w:widowControl w:val="0"/>
        <w:spacing w:after="240" w:line="275" w:lineRule="auto"/>
        <w:jc w:val="both"/>
        <w:rPr>
          <w:rFonts w:ascii="Arial" w:eastAsia="Arial" w:hAnsi="Arial" w:cs="Arial"/>
          <w:color w:val="1B1C1D"/>
          <w:sz w:val="30"/>
          <w:szCs w:val="30"/>
        </w:rPr>
      </w:pPr>
      <w:r>
        <w:rPr>
          <w:rFonts w:ascii="Arial" w:eastAsia="Arial" w:hAnsi="Arial" w:cs="Arial"/>
          <w:color w:val="1B1C1D"/>
          <w:sz w:val="30"/>
          <w:szCs w:val="30"/>
        </w:rPr>
        <w:t xml:space="preserve">Sin embargo, no se puede ignorar </w:t>
      </w:r>
      <w:proofErr w:type="gramStart"/>
      <w:r>
        <w:rPr>
          <w:rFonts w:ascii="Arial" w:eastAsia="Arial" w:hAnsi="Arial" w:cs="Arial"/>
          <w:color w:val="1B1C1D"/>
          <w:sz w:val="30"/>
          <w:szCs w:val="30"/>
        </w:rPr>
        <w:t>que</w:t>
      </w:r>
      <w:proofErr w:type="gramEnd"/>
      <w:r>
        <w:rPr>
          <w:rFonts w:ascii="Arial" w:eastAsia="Arial" w:hAnsi="Arial" w:cs="Arial"/>
          <w:color w:val="1B1C1D"/>
          <w:sz w:val="30"/>
          <w:szCs w:val="30"/>
        </w:rPr>
        <w:t xml:space="preserve"> a nivel federal, la Norma Oficial Mexicana NOM-001-SCT-2-2016 establece las especificaciones técnicas de las placas vehiculares, la cual fue aludida en el último </w:t>
      </w:r>
      <w:proofErr w:type="spellStart"/>
      <w:r>
        <w:rPr>
          <w:rFonts w:ascii="Arial" w:eastAsia="Arial" w:hAnsi="Arial" w:cs="Arial"/>
          <w:color w:val="1B1C1D"/>
          <w:sz w:val="30"/>
          <w:szCs w:val="30"/>
        </w:rPr>
        <w:t>replaqueo</w:t>
      </w:r>
      <w:proofErr w:type="spellEnd"/>
      <w:r>
        <w:rPr>
          <w:rFonts w:ascii="Arial" w:eastAsia="Arial" w:hAnsi="Arial" w:cs="Arial"/>
          <w:color w:val="1B1C1D"/>
          <w:sz w:val="30"/>
          <w:szCs w:val="30"/>
        </w:rPr>
        <w:t xml:space="preserve"> como justificante, pues se aseguró que dicha norma en conjunto con un Acuerdo Intersecretarial del año 2000, regulan como obligatorio la el </w:t>
      </w:r>
      <w:proofErr w:type="spellStart"/>
      <w:r>
        <w:rPr>
          <w:rFonts w:ascii="Arial" w:eastAsia="Arial" w:hAnsi="Arial" w:cs="Arial"/>
          <w:color w:val="1B1C1D"/>
          <w:sz w:val="30"/>
          <w:szCs w:val="30"/>
        </w:rPr>
        <w:t>replaqueo</w:t>
      </w:r>
      <w:proofErr w:type="spellEnd"/>
      <w:r>
        <w:rPr>
          <w:rFonts w:ascii="Arial" w:eastAsia="Arial" w:hAnsi="Arial" w:cs="Arial"/>
          <w:color w:val="1B1C1D"/>
          <w:sz w:val="30"/>
          <w:szCs w:val="30"/>
        </w:rPr>
        <w:t xml:space="preserve"> cada 3 años. Es importante hacer notar que en esta norma no se exige un </w:t>
      </w:r>
      <w:proofErr w:type="spellStart"/>
      <w:r>
        <w:rPr>
          <w:rFonts w:ascii="Arial" w:eastAsia="Arial" w:hAnsi="Arial" w:cs="Arial"/>
          <w:color w:val="1B1C1D"/>
          <w:sz w:val="30"/>
          <w:szCs w:val="30"/>
        </w:rPr>
        <w:t>reemplacamiento</w:t>
      </w:r>
      <w:proofErr w:type="spellEnd"/>
      <w:r>
        <w:rPr>
          <w:rFonts w:ascii="Arial" w:eastAsia="Arial" w:hAnsi="Arial" w:cs="Arial"/>
          <w:color w:val="1B1C1D"/>
          <w:sz w:val="30"/>
          <w:szCs w:val="30"/>
        </w:rPr>
        <w:t xml:space="preserve"> periódico obligatorio, lo que indica es el mínimo de 3 años de calidad en la fabricación de placas, haciendo visible que por supuesto, deben ser de mayor duración, siempre y cuando cumplan con las especificaciones técnicas federales.</w:t>
      </w:r>
    </w:p>
    <w:p w14:paraId="39AB0686" w14:textId="77777777" w:rsidR="00A42AAE" w:rsidRDefault="00000000">
      <w:pPr>
        <w:widowControl w:val="0"/>
        <w:spacing w:after="240" w:line="275" w:lineRule="auto"/>
        <w:jc w:val="both"/>
        <w:rPr>
          <w:rFonts w:ascii="Arial" w:eastAsia="Arial" w:hAnsi="Arial" w:cs="Arial"/>
          <w:color w:val="1B1C1D"/>
          <w:sz w:val="30"/>
          <w:szCs w:val="30"/>
        </w:rPr>
      </w:pPr>
      <w:r>
        <w:rPr>
          <w:rFonts w:ascii="Arial" w:eastAsia="Arial" w:hAnsi="Arial" w:cs="Arial"/>
          <w:color w:val="1B1C1D"/>
          <w:sz w:val="30"/>
          <w:szCs w:val="30"/>
        </w:rPr>
        <w:t>A lo cual, podemos referir como muestra de años mínimos, y por tanto de años máximos no limitados, un ejemplo concreto en otra entidad federativa: Hasta 2024, en la ley de tránsito del Estado de Sinaloa las placas tenían en su artículo 41, el carácter de permanente de forma expresa. Esa ley fue abrogada, y fue expedida la Ley de movilidad Sustentable y Seguridad Vial, la cual indica en:</w:t>
      </w:r>
    </w:p>
    <w:p w14:paraId="71260297" w14:textId="77777777" w:rsidR="00A42AAE" w:rsidRDefault="00A42AAE">
      <w:pPr>
        <w:widowControl w:val="0"/>
        <w:spacing w:after="240" w:line="275" w:lineRule="auto"/>
        <w:jc w:val="both"/>
        <w:rPr>
          <w:rFonts w:ascii="Arial" w:eastAsia="Arial" w:hAnsi="Arial" w:cs="Arial"/>
          <w:color w:val="1B1C1D"/>
          <w:sz w:val="30"/>
          <w:szCs w:val="30"/>
        </w:rPr>
      </w:pPr>
    </w:p>
    <w:p w14:paraId="5A3E58BC" w14:textId="77777777" w:rsidR="00A42AAE" w:rsidRDefault="00000000">
      <w:pPr>
        <w:widowControl w:val="0"/>
        <w:spacing w:after="240" w:line="275" w:lineRule="auto"/>
        <w:ind w:left="1440" w:firstLine="720"/>
        <w:jc w:val="both"/>
        <w:rPr>
          <w:rFonts w:ascii="Arial" w:eastAsia="Arial" w:hAnsi="Arial" w:cs="Arial"/>
          <w:color w:val="1B1C1D"/>
          <w:sz w:val="30"/>
          <w:szCs w:val="30"/>
        </w:rPr>
      </w:pPr>
      <w:r>
        <w:rPr>
          <w:rFonts w:ascii="Arial" w:eastAsia="Arial" w:hAnsi="Arial" w:cs="Arial"/>
          <w:color w:val="1B1C1D"/>
          <w:sz w:val="30"/>
          <w:szCs w:val="30"/>
        </w:rPr>
        <w:t xml:space="preserve">Artículo 353. Las placas de circulación servirán </w:t>
      </w:r>
      <w:r>
        <w:rPr>
          <w:rFonts w:ascii="Arial" w:eastAsia="Arial" w:hAnsi="Arial" w:cs="Arial"/>
          <w:color w:val="1B1C1D"/>
          <w:sz w:val="30"/>
          <w:szCs w:val="30"/>
        </w:rPr>
        <w:lastRenderedPageBreak/>
        <w:t xml:space="preserve">como identificación del vehículo, </w:t>
      </w:r>
      <w:r>
        <w:rPr>
          <w:rFonts w:ascii="Arial" w:eastAsia="Arial" w:hAnsi="Arial" w:cs="Arial"/>
          <w:b/>
          <w:color w:val="1B1C1D"/>
          <w:sz w:val="30"/>
          <w:szCs w:val="30"/>
        </w:rPr>
        <w:t>y serán permanentes.</w:t>
      </w:r>
      <w:r>
        <w:rPr>
          <w:rFonts w:ascii="Arial" w:eastAsia="Arial" w:hAnsi="Arial" w:cs="Arial"/>
          <w:color w:val="1B1C1D"/>
          <w:sz w:val="30"/>
          <w:szCs w:val="30"/>
        </w:rPr>
        <w:t xml:space="preserve"> Las tarjetas de circulación y calcomanía tendrán vigencia de un año y deberán revalidarse a más tardar el día de la fecha de su vencimiento. En caso de traslación de la propiedad por cualquier medio previsto en la legislación, el interesado deberá tramitar el cambio de propietario en un plazo no mayor de quince días posteriores a la fecha de traslación.</w:t>
      </w:r>
    </w:p>
    <w:p w14:paraId="24DF0422" w14:textId="77777777" w:rsidR="00A42AAE" w:rsidRDefault="00A42AAE">
      <w:pPr>
        <w:widowControl w:val="0"/>
        <w:spacing w:after="240" w:line="275" w:lineRule="auto"/>
        <w:ind w:left="1440" w:firstLine="720"/>
        <w:jc w:val="both"/>
        <w:rPr>
          <w:rFonts w:ascii="Arial" w:eastAsia="Arial" w:hAnsi="Arial" w:cs="Arial"/>
          <w:color w:val="1B1C1D"/>
          <w:sz w:val="30"/>
          <w:szCs w:val="30"/>
        </w:rPr>
      </w:pPr>
    </w:p>
    <w:p w14:paraId="1AAE4C0B" w14:textId="77777777" w:rsidR="00A42AAE" w:rsidRDefault="00000000">
      <w:pPr>
        <w:widowControl w:val="0"/>
        <w:spacing w:after="240" w:line="275" w:lineRule="auto"/>
        <w:jc w:val="both"/>
        <w:rPr>
          <w:rFonts w:ascii="Arial" w:eastAsia="Arial" w:hAnsi="Arial" w:cs="Arial"/>
          <w:color w:val="1B1C1D"/>
          <w:sz w:val="30"/>
          <w:szCs w:val="30"/>
        </w:rPr>
      </w:pPr>
      <w:r>
        <w:rPr>
          <w:rFonts w:ascii="Arial" w:eastAsia="Arial" w:hAnsi="Arial" w:cs="Arial"/>
          <w:color w:val="1B1C1D"/>
          <w:sz w:val="30"/>
          <w:szCs w:val="30"/>
        </w:rPr>
        <w:t xml:space="preserve">Este ejercicio de derecho comparado entre las Entidades Federativas reafirma lo que constitucionalmente se ha dispuesto, la ley debe buscar el mayor favorecimiento de las personas en todo momento. Si cumpliéndose cabalmente las finalidades de la NOM-001-SCT-2-2016 y del relativo Acuerdo Secretarial publicado en el Diario Oficial de la Federación el 25 de septiembre de 2000, lo que nos corresponde por consiguiente es darle carácter permanente a las placas vehiculares, asegurar la renovación del padrón vehicular y no causar más gastos innecesarios, justificados en un rancio formalismo que se interpreta fuera del marco constitucional en perjuicio de las y los chihuahuenses, cuando por el contrario, lo mínimo es luchar y legislar hasta garantizar el bienestar social en Chihuahua.  </w:t>
      </w:r>
    </w:p>
    <w:p w14:paraId="2BA8049C" w14:textId="77777777" w:rsidR="00A42AAE" w:rsidRDefault="00A42AAE">
      <w:pPr>
        <w:widowControl w:val="0"/>
        <w:pBdr>
          <w:top w:val="nil"/>
          <w:left w:val="nil"/>
          <w:bottom w:val="nil"/>
          <w:right w:val="nil"/>
          <w:between w:val="nil"/>
        </w:pBdr>
        <w:tabs>
          <w:tab w:val="left" w:pos="941"/>
        </w:tabs>
        <w:spacing w:after="0" w:line="360" w:lineRule="auto"/>
        <w:ind w:right="375"/>
        <w:jc w:val="both"/>
        <w:rPr>
          <w:rFonts w:ascii="Arial" w:eastAsia="Arial" w:hAnsi="Arial" w:cs="Arial"/>
          <w:color w:val="1F2023"/>
          <w:sz w:val="30"/>
          <w:szCs w:val="30"/>
        </w:rPr>
      </w:pPr>
    </w:p>
    <w:p w14:paraId="67C59A81" w14:textId="77777777" w:rsidR="00A42AAE" w:rsidRDefault="00000000">
      <w:pPr>
        <w:widowControl w:val="0"/>
        <w:pBdr>
          <w:top w:val="nil"/>
          <w:left w:val="nil"/>
          <w:bottom w:val="nil"/>
          <w:right w:val="nil"/>
          <w:between w:val="nil"/>
        </w:pBdr>
        <w:tabs>
          <w:tab w:val="left" w:pos="941"/>
        </w:tabs>
        <w:spacing w:after="0" w:line="360" w:lineRule="auto"/>
        <w:ind w:right="375"/>
        <w:jc w:val="both"/>
        <w:rPr>
          <w:rFonts w:ascii="Arial" w:eastAsia="Arial" w:hAnsi="Arial" w:cs="Arial"/>
          <w:color w:val="1F2023"/>
          <w:sz w:val="30"/>
          <w:szCs w:val="30"/>
        </w:rPr>
      </w:pPr>
      <w:r>
        <w:rPr>
          <w:rFonts w:ascii="Arial" w:eastAsia="Arial" w:hAnsi="Arial" w:cs="Arial"/>
          <w:color w:val="1F2023"/>
          <w:sz w:val="30"/>
          <w:szCs w:val="30"/>
        </w:rPr>
        <w:t>Es por lo anteriormente expuesto, que nos permitimos presentar la presente iniciativa con carácter de:</w:t>
      </w:r>
    </w:p>
    <w:p w14:paraId="22C52BCB" w14:textId="77777777" w:rsidR="00A42AAE" w:rsidRDefault="00A42AAE">
      <w:pPr>
        <w:widowControl w:val="0"/>
        <w:pBdr>
          <w:top w:val="nil"/>
          <w:left w:val="nil"/>
          <w:bottom w:val="nil"/>
          <w:right w:val="nil"/>
          <w:between w:val="nil"/>
        </w:pBdr>
        <w:tabs>
          <w:tab w:val="left" w:pos="941"/>
        </w:tabs>
        <w:spacing w:after="0" w:line="360" w:lineRule="auto"/>
        <w:ind w:right="375"/>
        <w:jc w:val="both"/>
        <w:rPr>
          <w:rFonts w:ascii="Arial" w:eastAsia="Arial" w:hAnsi="Arial" w:cs="Arial"/>
          <w:color w:val="1F2023"/>
          <w:sz w:val="32"/>
          <w:szCs w:val="32"/>
        </w:rPr>
      </w:pPr>
    </w:p>
    <w:p w14:paraId="012DD7ED" w14:textId="77777777" w:rsidR="00A42AAE" w:rsidRDefault="00000000">
      <w:pPr>
        <w:widowControl w:val="0"/>
        <w:spacing w:before="240" w:after="240" w:line="360" w:lineRule="auto"/>
        <w:ind w:left="100"/>
        <w:jc w:val="center"/>
        <w:rPr>
          <w:rFonts w:ascii="Arial" w:eastAsia="Arial" w:hAnsi="Arial" w:cs="Arial"/>
          <w:b/>
          <w:color w:val="1F2023"/>
          <w:sz w:val="40"/>
          <w:szCs w:val="40"/>
        </w:rPr>
      </w:pPr>
      <w:r>
        <w:rPr>
          <w:rFonts w:ascii="Arial" w:eastAsia="Arial" w:hAnsi="Arial" w:cs="Arial"/>
          <w:b/>
          <w:color w:val="1F2023"/>
          <w:sz w:val="40"/>
          <w:szCs w:val="40"/>
        </w:rPr>
        <w:t>D E C R E T O</w:t>
      </w:r>
    </w:p>
    <w:p w14:paraId="56C15605" w14:textId="77777777" w:rsidR="00A42AAE" w:rsidRDefault="00A42AAE">
      <w:pPr>
        <w:widowControl w:val="0"/>
        <w:spacing w:before="240" w:after="240" w:line="360" w:lineRule="auto"/>
        <w:ind w:left="100"/>
        <w:jc w:val="both"/>
        <w:rPr>
          <w:rFonts w:ascii="Arial" w:eastAsia="Arial" w:hAnsi="Arial" w:cs="Arial"/>
          <w:b/>
          <w:color w:val="1F2023"/>
          <w:sz w:val="32"/>
          <w:szCs w:val="32"/>
        </w:rPr>
      </w:pPr>
    </w:p>
    <w:p w14:paraId="520DDD20" w14:textId="77777777" w:rsidR="00A42AAE" w:rsidRDefault="00000000">
      <w:pPr>
        <w:widowControl w:val="0"/>
        <w:spacing w:before="240" w:after="240" w:line="360" w:lineRule="auto"/>
        <w:ind w:left="100"/>
        <w:jc w:val="both"/>
        <w:rPr>
          <w:rFonts w:ascii="Arial" w:eastAsia="Arial" w:hAnsi="Arial" w:cs="Arial"/>
          <w:b/>
          <w:color w:val="1F2023"/>
          <w:sz w:val="32"/>
          <w:szCs w:val="32"/>
        </w:rPr>
      </w:pPr>
      <w:r>
        <w:rPr>
          <w:rFonts w:ascii="Arial" w:eastAsia="Arial" w:hAnsi="Arial" w:cs="Arial"/>
          <w:b/>
          <w:color w:val="1F2023"/>
          <w:sz w:val="32"/>
          <w:szCs w:val="32"/>
        </w:rPr>
        <w:t>ARTÍCULO ÚNICO.  Se reforma el párrafo primero del artículo 34 y se adiciona un artículo 42 Bis, ambos a la Ley de Vialidad y Tránsito de Chihuahua, para quedar redactado de la siguiente manera:</w:t>
      </w:r>
    </w:p>
    <w:p w14:paraId="78E8FBB9" w14:textId="77777777" w:rsidR="00A42AAE" w:rsidRDefault="00000000">
      <w:pPr>
        <w:widowControl w:val="0"/>
        <w:spacing w:before="240" w:after="240" w:line="360" w:lineRule="auto"/>
        <w:ind w:left="100"/>
        <w:jc w:val="center"/>
        <w:rPr>
          <w:rFonts w:ascii="Arial" w:eastAsia="Arial" w:hAnsi="Arial" w:cs="Arial"/>
          <w:b/>
          <w:color w:val="1F2023"/>
          <w:sz w:val="32"/>
          <w:szCs w:val="32"/>
        </w:rPr>
      </w:pPr>
      <w:r>
        <w:rPr>
          <w:rFonts w:ascii="Arial" w:eastAsia="Arial" w:hAnsi="Arial" w:cs="Arial"/>
          <w:b/>
          <w:color w:val="1F2023"/>
          <w:sz w:val="32"/>
          <w:szCs w:val="32"/>
        </w:rPr>
        <w:t>TÍTULO II</w:t>
      </w:r>
    </w:p>
    <w:p w14:paraId="1D0DE604" w14:textId="77777777" w:rsidR="00A42AAE" w:rsidRDefault="00000000">
      <w:pPr>
        <w:widowControl w:val="0"/>
        <w:spacing w:before="240" w:after="240" w:line="360" w:lineRule="auto"/>
        <w:ind w:left="100"/>
        <w:jc w:val="center"/>
        <w:rPr>
          <w:rFonts w:ascii="Arial" w:eastAsia="Arial" w:hAnsi="Arial" w:cs="Arial"/>
          <w:color w:val="1F2023"/>
          <w:sz w:val="32"/>
          <w:szCs w:val="32"/>
        </w:rPr>
      </w:pPr>
      <w:r>
        <w:rPr>
          <w:rFonts w:ascii="Arial" w:eastAsia="Arial" w:hAnsi="Arial" w:cs="Arial"/>
          <w:color w:val="1F2023"/>
          <w:sz w:val="32"/>
          <w:szCs w:val="32"/>
        </w:rPr>
        <w:t>CAPÍTULO PRIMERO</w:t>
      </w:r>
    </w:p>
    <w:p w14:paraId="393DDA08" w14:textId="77777777" w:rsidR="00A42AAE" w:rsidRDefault="00000000">
      <w:pPr>
        <w:widowControl w:val="0"/>
        <w:spacing w:before="240" w:after="240" w:line="360" w:lineRule="auto"/>
        <w:ind w:left="100"/>
        <w:jc w:val="center"/>
        <w:rPr>
          <w:rFonts w:ascii="Arial" w:eastAsia="Arial" w:hAnsi="Arial" w:cs="Arial"/>
          <w:color w:val="1F2023"/>
          <w:sz w:val="32"/>
          <w:szCs w:val="32"/>
        </w:rPr>
      </w:pPr>
      <w:r>
        <w:rPr>
          <w:rFonts w:ascii="Arial" w:eastAsia="Arial" w:hAnsi="Arial" w:cs="Arial"/>
          <w:color w:val="1F2023"/>
          <w:sz w:val="32"/>
          <w:szCs w:val="32"/>
        </w:rPr>
        <w:t>DE LOS VEHÍCULOS</w:t>
      </w:r>
    </w:p>
    <w:p w14:paraId="14E22FB0" w14:textId="77777777" w:rsidR="00A42AAE" w:rsidRDefault="00000000">
      <w:pPr>
        <w:widowControl w:val="0"/>
        <w:spacing w:before="240" w:after="240" w:line="360" w:lineRule="auto"/>
        <w:ind w:left="100"/>
        <w:jc w:val="both"/>
        <w:rPr>
          <w:rFonts w:ascii="Arial" w:eastAsia="Arial" w:hAnsi="Arial" w:cs="Arial"/>
          <w:b/>
          <w:color w:val="1F2023"/>
          <w:sz w:val="32"/>
          <w:szCs w:val="32"/>
        </w:rPr>
      </w:pPr>
      <w:r>
        <w:rPr>
          <w:rFonts w:ascii="Arial" w:eastAsia="Arial" w:hAnsi="Arial" w:cs="Arial"/>
          <w:b/>
          <w:color w:val="1F2023"/>
          <w:sz w:val="32"/>
          <w:szCs w:val="32"/>
        </w:rPr>
        <w:t xml:space="preserve">ARTÍCULO 34. Las placas y la tarjeta de </w:t>
      </w:r>
      <w:proofErr w:type="gramStart"/>
      <w:r>
        <w:rPr>
          <w:rFonts w:ascii="Arial" w:eastAsia="Arial" w:hAnsi="Arial" w:cs="Arial"/>
          <w:b/>
          <w:color w:val="1F2023"/>
          <w:sz w:val="32"/>
          <w:szCs w:val="32"/>
        </w:rPr>
        <w:t>circulación,</w:t>
      </w:r>
      <w:proofErr w:type="gramEnd"/>
      <w:r>
        <w:rPr>
          <w:rFonts w:ascii="Arial" w:eastAsia="Arial" w:hAnsi="Arial" w:cs="Arial"/>
          <w:b/>
          <w:color w:val="1F2023"/>
          <w:sz w:val="32"/>
          <w:szCs w:val="32"/>
        </w:rPr>
        <w:t xml:space="preserve"> serán intransferibles. Podrán tramitarse por quién acredite del vehículo tener la propiedad o su legal posesión, la procedencia lícita y que exista coincidencia física del vehículo con las especificaciones y características documentadas.</w:t>
      </w:r>
    </w:p>
    <w:p w14:paraId="444C310E" w14:textId="77777777" w:rsidR="00A42AAE" w:rsidRDefault="00A42AAE">
      <w:pPr>
        <w:widowControl w:val="0"/>
        <w:spacing w:before="240" w:after="240" w:line="360" w:lineRule="auto"/>
        <w:ind w:left="100"/>
        <w:jc w:val="both"/>
        <w:rPr>
          <w:rFonts w:ascii="Arial" w:eastAsia="Arial" w:hAnsi="Arial" w:cs="Arial"/>
          <w:b/>
          <w:color w:val="1F2023"/>
          <w:sz w:val="32"/>
          <w:szCs w:val="32"/>
        </w:rPr>
      </w:pPr>
    </w:p>
    <w:p w14:paraId="3A02AFD1" w14:textId="77777777" w:rsidR="00A42AAE" w:rsidRDefault="00000000">
      <w:pPr>
        <w:widowControl w:val="0"/>
        <w:spacing w:before="240" w:after="240" w:line="360" w:lineRule="auto"/>
        <w:ind w:left="100"/>
        <w:jc w:val="both"/>
        <w:rPr>
          <w:rFonts w:ascii="Arial" w:eastAsia="Arial" w:hAnsi="Arial" w:cs="Arial"/>
          <w:b/>
          <w:color w:val="1F2023"/>
          <w:sz w:val="32"/>
          <w:szCs w:val="32"/>
        </w:rPr>
      </w:pPr>
      <w:r>
        <w:rPr>
          <w:rFonts w:ascii="Arial" w:eastAsia="Arial" w:hAnsi="Arial" w:cs="Arial"/>
          <w:b/>
          <w:color w:val="1F2023"/>
          <w:sz w:val="32"/>
          <w:szCs w:val="32"/>
        </w:rPr>
        <w:t xml:space="preserve">En la tramitación correspondiente, la autoridad competente podrá requerir durante la verificación física de la información vehicular, además, podrá requerir documentación adicional cuando sea necesario por causa justificada. </w:t>
      </w:r>
    </w:p>
    <w:p w14:paraId="141FB494" w14:textId="77777777" w:rsidR="00A42AAE" w:rsidRDefault="00A42AAE">
      <w:pPr>
        <w:widowControl w:val="0"/>
        <w:spacing w:before="240" w:after="240" w:line="360" w:lineRule="auto"/>
        <w:ind w:left="100"/>
        <w:jc w:val="center"/>
        <w:rPr>
          <w:rFonts w:ascii="Arial" w:eastAsia="Arial" w:hAnsi="Arial" w:cs="Arial"/>
          <w:b/>
          <w:color w:val="1F2023"/>
          <w:sz w:val="32"/>
          <w:szCs w:val="32"/>
        </w:rPr>
      </w:pPr>
    </w:p>
    <w:p w14:paraId="1F5F4877" w14:textId="77777777" w:rsidR="00A42AAE" w:rsidRDefault="00000000">
      <w:pPr>
        <w:widowControl w:val="0"/>
        <w:spacing w:before="240" w:after="240" w:line="360" w:lineRule="auto"/>
        <w:ind w:left="100"/>
        <w:jc w:val="center"/>
        <w:rPr>
          <w:rFonts w:ascii="Arial" w:eastAsia="Arial" w:hAnsi="Arial" w:cs="Arial"/>
          <w:b/>
          <w:color w:val="1F2023"/>
          <w:sz w:val="32"/>
          <w:szCs w:val="32"/>
        </w:rPr>
      </w:pPr>
      <w:r>
        <w:rPr>
          <w:rFonts w:ascii="Arial" w:eastAsia="Arial" w:hAnsi="Arial" w:cs="Arial"/>
          <w:b/>
          <w:color w:val="1F2023"/>
          <w:sz w:val="32"/>
          <w:szCs w:val="32"/>
        </w:rPr>
        <w:t>CAPÍTULO TERCERO</w:t>
      </w:r>
    </w:p>
    <w:p w14:paraId="256BC7A3" w14:textId="77777777" w:rsidR="00A42AAE" w:rsidRDefault="00000000">
      <w:pPr>
        <w:widowControl w:val="0"/>
        <w:spacing w:before="240" w:after="240" w:line="360" w:lineRule="auto"/>
        <w:ind w:left="100"/>
        <w:jc w:val="center"/>
        <w:rPr>
          <w:rFonts w:ascii="Arial" w:eastAsia="Arial" w:hAnsi="Arial" w:cs="Arial"/>
          <w:b/>
          <w:color w:val="1F2023"/>
          <w:sz w:val="32"/>
          <w:szCs w:val="32"/>
        </w:rPr>
      </w:pPr>
      <w:r>
        <w:rPr>
          <w:rFonts w:ascii="Arial" w:eastAsia="Arial" w:hAnsi="Arial" w:cs="Arial"/>
          <w:b/>
          <w:color w:val="1F2023"/>
          <w:sz w:val="32"/>
          <w:szCs w:val="32"/>
        </w:rPr>
        <w:t>DE LAS PLACAS DE LOS VEHÍCULOS</w:t>
      </w:r>
    </w:p>
    <w:p w14:paraId="32D679DA" w14:textId="77777777" w:rsidR="00A42AAE" w:rsidRDefault="00A42AAE">
      <w:pPr>
        <w:widowControl w:val="0"/>
        <w:spacing w:before="240" w:after="240" w:line="360" w:lineRule="auto"/>
        <w:ind w:left="100"/>
        <w:jc w:val="both"/>
        <w:rPr>
          <w:rFonts w:ascii="Arial" w:eastAsia="Arial" w:hAnsi="Arial" w:cs="Arial"/>
          <w:b/>
          <w:color w:val="1F2023"/>
          <w:sz w:val="32"/>
          <w:szCs w:val="32"/>
        </w:rPr>
      </w:pPr>
    </w:p>
    <w:p w14:paraId="690D7E87" w14:textId="77777777" w:rsidR="00A42AAE" w:rsidRDefault="00000000">
      <w:pPr>
        <w:widowControl w:val="0"/>
        <w:spacing w:before="240" w:after="240" w:line="360" w:lineRule="auto"/>
        <w:ind w:left="100"/>
        <w:jc w:val="both"/>
        <w:rPr>
          <w:rFonts w:ascii="Arial" w:eastAsia="Arial" w:hAnsi="Arial" w:cs="Arial"/>
          <w:b/>
          <w:color w:val="1F2023"/>
          <w:sz w:val="32"/>
          <w:szCs w:val="32"/>
        </w:rPr>
      </w:pPr>
      <w:r>
        <w:rPr>
          <w:rFonts w:ascii="Arial" w:eastAsia="Arial" w:hAnsi="Arial" w:cs="Arial"/>
          <w:b/>
          <w:color w:val="1F2023"/>
          <w:sz w:val="32"/>
          <w:szCs w:val="32"/>
        </w:rPr>
        <w:t xml:space="preserve">ARTÍCULO 42. BIS. Las placas, que sean expedidas para uso o servicio particular, serán válidas para la circulación de vehículos debidamente identificados ante la autoridad competente. Se tendrán como debidamente identificados los vehículos que porten tarjeta de circulación, las placas que le fueron expedidas en conjunto con el holograma que haga constar que la información vehicular tiene al menos un año de haber sido refrendada. </w:t>
      </w:r>
    </w:p>
    <w:p w14:paraId="45BBF52F" w14:textId="77777777" w:rsidR="00A42AAE" w:rsidRDefault="00000000">
      <w:pPr>
        <w:widowControl w:val="0"/>
        <w:spacing w:before="240" w:after="240" w:line="360" w:lineRule="auto"/>
        <w:ind w:left="100"/>
        <w:jc w:val="both"/>
        <w:rPr>
          <w:rFonts w:ascii="Arial" w:eastAsia="Arial" w:hAnsi="Arial" w:cs="Arial"/>
          <w:b/>
          <w:color w:val="1F2023"/>
          <w:sz w:val="32"/>
          <w:szCs w:val="32"/>
        </w:rPr>
      </w:pPr>
      <w:r>
        <w:rPr>
          <w:rFonts w:ascii="Arial" w:eastAsia="Arial" w:hAnsi="Arial" w:cs="Arial"/>
          <w:b/>
          <w:color w:val="1F2023"/>
          <w:sz w:val="32"/>
          <w:szCs w:val="32"/>
        </w:rPr>
        <w:lastRenderedPageBreak/>
        <w:t xml:space="preserve">Las placas para uso o servicio particular expedidas por la autoridad </w:t>
      </w:r>
      <w:proofErr w:type="gramStart"/>
      <w:r>
        <w:rPr>
          <w:rFonts w:ascii="Arial" w:eastAsia="Arial" w:hAnsi="Arial" w:cs="Arial"/>
          <w:b/>
          <w:color w:val="1F2023"/>
          <w:sz w:val="32"/>
          <w:szCs w:val="32"/>
        </w:rPr>
        <w:t>competente,</w:t>
      </w:r>
      <w:proofErr w:type="gramEnd"/>
      <w:r>
        <w:rPr>
          <w:rFonts w:ascii="Arial" w:eastAsia="Arial" w:hAnsi="Arial" w:cs="Arial"/>
          <w:b/>
          <w:color w:val="1F2023"/>
          <w:sz w:val="32"/>
          <w:szCs w:val="32"/>
        </w:rPr>
        <w:t xml:space="preserve"> tendrán una vigencia permanente si estas cumplan con los requisitos de validez para su expedición y refrendada la información correspondiente. </w:t>
      </w:r>
    </w:p>
    <w:p w14:paraId="56B9D461" w14:textId="77777777" w:rsidR="00A42AAE" w:rsidRDefault="00000000">
      <w:pPr>
        <w:widowControl w:val="0"/>
        <w:spacing w:before="240" w:after="240" w:line="360" w:lineRule="auto"/>
        <w:ind w:left="100"/>
        <w:jc w:val="both"/>
        <w:rPr>
          <w:rFonts w:ascii="Arial" w:eastAsia="Arial" w:hAnsi="Arial" w:cs="Arial"/>
          <w:b/>
          <w:color w:val="1F2023"/>
          <w:sz w:val="32"/>
          <w:szCs w:val="32"/>
        </w:rPr>
      </w:pPr>
      <w:r>
        <w:rPr>
          <w:rFonts w:ascii="Arial" w:eastAsia="Arial" w:hAnsi="Arial" w:cs="Arial"/>
          <w:b/>
          <w:color w:val="1F2023"/>
          <w:sz w:val="32"/>
          <w:szCs w:val="32"/>
        </w:rPr>
        <w:t xml:space="preserve">Hay interrupción de la vigencia, cuando el vehículo que porte las placas, no tenga adherido el </w:t>
      </w:r>
      <w:proofErr w:type="gramStart"/>
      <w:r>
        <w:rPr>
          <w:rFonts w:ascii="Arial" w:eastAsia="Arial" w:hAnsi="Arial" w:cs="Arial"/>
          <w:b/>
          <w:color w:val="1F2023"/>
          <w:sz w:val="32"/>
          <w:szCs w:val="32"/>
        </w:rPr>
        <w:t>holograma  expedido</w:t>
      </w:r>
      <w:proofErr w:type="gramEnd"/>
      <w:r>
        <w:rPr>
          <w:rFonts w:ascii="Arial" w:eastAsia="Arial" w:hAnsi="Arial" w:cs="Arial"/>
          <w:b/>
          <w:color w:val="1F2023"/>
          <w:sz w:val="32"/>
          <w:szCs w:val="32"/>
        </w:rPr>
        <w:t xml:space="preserve"> por haber refrendado la  información requerida por ley. Dicho holograma hará constar públicamente la última fecha en la que se validó la información del vehículo al que identifican las placas.</w:t>
      </w:r>
    </w:p>
    <w:p w14:paraId="321571F1" w14:textId="77777777" w:rsidR="00A42AAE" w:rsidRDefault="00000000">
      <w:pPr>
        <w:widowControl w:val="0"/>
        <w:spacing w:before="240" w:after="240" w:line="360" w:lineRule="auto"/>
        <w:ind w:left="100"/>
        <w:jc w:val="both"/>
        <w:rPr>
          <w:rFonts w:ascii="Arial" w:eastAsia="Arial" w:hAnsi="Arial" w:cs="Arial"/>
          <w:b/>
          <w:color w:val="1F2023"/>
          <w:sz w:val="32"/>
          <w:szCs w:val="32"/>
        </w:rPr>
      </w:pPr>
      <w:r>
        <w:rPr>
          <w:rFonts w:ascii="Arial" w:eastAsia="Arial" w:hAnsi="Arial" w:cs="Arial"/>
          <w:b/>
          <w:color w:val="1F2023"/>
          <w:sz w:val="32"/>
          <w:szCs w:val="32"/>
        </w:rPr>
        <w:t xml:space="preserve">La vigencia de las placas se puede limitar o extinguir por resolución judicial o administrativa cuyos efectos impliquen restricciones o prohibiciones de movilidad, o </w:t>
      </w:r>
      <w:proofErr w:type="gramStart"/>
      <w:r>
        <w:rPr>
          <w:rFonts w:ascii="Arial" w:eastAsia="Arial" w:hAnsi="Arial" w:cs="Arial"/>
          <w:b/>
          <w:color w:val="1F2023"/>
          <w:sz w:val="32"/>
          <w:szCs w:val="32"/>
        </w:rPr>
        <w:t>que</w:t>
      </w:r>
      <w:proofErr w:type="gramEnd"/>
      <w:r>
        <w:rPr>
          <w:rFonts w:ascii="Arial" w:eastAsia="Arial" w:hAnsi="Arial" w:cs="Arial"/>
          <w:b/>
          <w:color w:val="1F2023"/>
          <w:sz w:val="32"/>
          <w:szCs w:val="32"/>
        </w:rPr>
        <w:t xml:space="preserve"> por cualquier causa, por la cual sea necesario que las placas integren o modifiquen algún elemento de identificación o señalización.</w:t>
      </w:r>
    </w:p>
    <w:p w14:paraId="7BC1092F" w14:textId="77777777" w:rsidR="00A42AAE" w:rsidRDefault="00000000">
      <w:pPr>
        <w:widowControl w:val="0"/>
        <w:spacing w:before="240" w:after="240" w:line="360" w:lineRule="auto"/>
        <w:ind w:left="100"/>
        <w:jc w:val="both"/>
        <w:rPr>
          <w:rFonts w:ascii="Arial" w:eastAsia="Arial" w:hAnsi="Arial" w:cs="Arial"/>
          <w:b/>
          <w:color w:val="1F2023"/>
          <w:sz w:val="32"/>
          <w:szCs w:val="32"/>
        </w:rPr>
      </w:pPr>
      <w:r>
        <w:rPr>
          <w:rFonts w:ascii="Arial" w:eastAsia="Arial" w:hAnsi="Arial" w:cs="Arial"/>
          <w:b/>
          <w:color w:val="1F2023"/>
          <w:sz w:val="32"/>
          <w:szCs w:val="32"/>
        </w:rPr>
        <w:t xml:space="preserve">Deberá tramitarse nuevas placas, o la sustitución de las mismas, cuando existan cambios en la posesión o la propiedad del vehículo, por ser utilizado con propósitos </w:t>
      </w:r>
      <w:r>
        <w:rPr>
          <w:rFonts w:ascii="Arial" w:eastAsia="Arial" w:hAnsi="Arial" w:cs="Arial"/>
          <w:b/>
          <w:color w:val="1F2023"/>
          <w:sz w:val="32"/>
          <w:szCs w:val="32"/>
        </w:rPr>
        <w:lastRenderedPageBreak/>
        <w:t xml:space="preserve">diferentes a los clasificados para uso o servicio particular, así también, conforme a las normas oficiales mexicanas, cuando por el desgaste físico, se afecte o altere los elementos necesarios para su identificación o aquellos que por razones de </w:t>
      </w:r>
      <w:proofErr w:type="gramStart"/>
      <w:r>
        <w:rPr>
          <w:rFonts w:ascii="Arial" w:eastAsia="Arial" w:hAnsi="Arial" w:cs="Arial"/>
          <w:b/>
          <w:color w:val="1F2023"/>
          <w:sz w:val="32"/>
          <w:szCs w:val="32"/>
        </w:rPr>
        <w:t>seguridad  deba</w:t>
      </w:r>
      <w:proofErr w:type="gramEnd"/>
      <w:r>
        <w:rPr>
          <w:rFonts w:ascii="Arial" w:eastAsia="Arial" w:hAnsi="Arial" w:cs="Arial"/>
          <w:b/>
          <w:color w:val="1F2023"/>
          <w:sz w:val="32"/>
          <w:szCs w:val="32"/>
        </w:rPr>
        <w:t xml:space="preserve"> portar.</w:t>
      </w:r>
    </w:p>
    <w:p w14:paraId="378A39B9" w14:textId="77777777" w:rsidR="00A42AAE" w:rsidRDefault="00000000">
      <w:pPr>
        <w:widowControl w:val="0"/>
        <w:spacing w:before="240" w:after="240" w:line="360" w:lineRule="auto"/>
        <w:ind w:left="100"/>
        <w:jc w:val="both"/>
        <w:rPr>
          <w:rFonts w:ascii="Arial" w:eastAsia="Arial" w:hAnsi="Arial" w:cs="Arial"/>
          <w:b/>
          <w:color w:val="1F2023"/>
          <w:sz w:val="32"/>
          <w:szCs w:val="32"/>
        </w:rPr>
      </w:pPr>
      <w:r>
        <w:rPr>
          <w:rFonts w:ascii="Arial" w:eastAsia="Arial" w:hAnsi="Arial" w:cs="Arial"/>
          <w:b/>
          <w:color w:val="1F2023"/>
          <w:sz w:val="32"/>
          <w:szCs w:val="32"/>
        </w:rPr>
        <w:t xml:space="preserve">El costo por cambio o sustitución de placas para vehículos particulares no podrá ser mayor a su costo base de producción más el diez por ciento de dicho costo. </w:t>
      </w:r>
    </w:p>
    <w:p w14:paraId="4CD54C8B" w14:textId="77777777" w:rsidR="00A42AAE" w:rsidRDefault="00000000">
      <w:pPr>
        <w:widowControl w:val="0"/>
        <w:spacing w:before="240" w:after="240" w:line="360" w:lineRule="auto"/>
        <w:ind w:left="100"/>
        <w:jc w:val="center"/>
        <w:rPr>
          <w:rFonts w:ascii="Arial" w:eastAsia="Arial" w:hAnsi="Arial" w:cs="Arial"/>
          <w:b/>
          <w:color w:val="1F2023"/>
          <w:sz w:val="32"/>
          <w:szCs w:val="32"/>
        </w:rPr>
      </w:pPr>
      <w:r>
        <w:rPr>
          <w:rFonts w:ascii="Arial" w:eastAsia="Arial" w:hAnsi="Arial" w:cs="Arial"/>
          <w:b/>
          <w:color w:val="1F2023"/>
          <w:sz w:val="32"/>
          <w:szCs w:val="32"/>
        </w:rPr>
        <w:t>TRANSITORIO</w:t>
      </w:r>
    </w:p>
    <w:p w14:paraId="2DE63E46" w14:textId="77777777" w:rsidR="00A42AAE" w:rsidRDefault="00000000">
      <w:pPr>
        <w:widowControl w:val="0"/>
        <w:spacing w:before="240" w:after="240" w:line="360" w:lineRule="auto"/>
        <w:ind w:left="100"/>
        <w:jc w:val="both"/>
        <w:rPr>
          <w:rFonts w:ascii="Arial" w:eastAsia="Arial" w:hAnsi="Arial" w:cs="Arial"/>
          <w:b/>
          <w:color w:val="1F2023"/>
          <w:sz w:val="32"/>
          <w:szCs w:val="32"/>
        </w:rPr>
      </w:pPr>
      <w:r>
        <w:rPr>
          <w:rFonts w:ascii="Arial" w:eastAsia="Arial" w:hAnsi="Arial" w:cs="Arial"/>
          <w:b/>
          <w:color w:val="1F2023"/>
          <w:sz w:val="32"/>
          <w:szCs w:val="32"/>
        </w:rPr>
        <w:t>ÚNICO. - El presente decreto entrará en vigor a los 180 días posteriores a su publicación en el Periódico Oficial del Estado</w:t>
      </w:r>
    </w:p>
    <w:p w14:paraId="74EFCBBC" w14:textId="77777777" w:rsidR="00A42AAE" w:rsidRDefault="00000000">
      <w:pPr>
        <w:widowControl w:val="0"/>
        <w:spacing w:before="240" w:after="240" w:line="360" w:lineRule="auto"/>
        <w:ind w:left="100" w:firstLine="620"/>
        <w:jc w:val="both"/>
        <w:rPr>
          <w:rFonts w:ascii="Arial" w:eastAsia="Arial" w:hAnsi="Arial" w:cs="Arial"/>
          <w:sz w:val="32"/>
          <w:szCs w:val="32"/>
        </w:rPr>
      </w:pPr>
      <w:r>
        <w:rPr>
          <w:rFonts w:ascii="Arial" w:eastAsia="Arial" w:hAnsi="Arial" w:cs="Arial"/>
          <w:b/>
          <w:i/>
          <w:sz w:val="32"/>
          <w:szCs w:val="32"/>
        </w:rPr>
        <w:t>D A D O</w:t>
      </w:r>
      <w:r>
        <w:rPr>
          <w:rFonts w:ascii="Arial" w:eastAsia="Arial" w:hAnsi="Arial" w:cs="Arial"/>
          <w:b/>
          <w:sz w:val="32"/>
          <w:szCs w:val="32"/>
        </w:rPr>
        <w:t xml:space="preserve"> </w:t>
      </w:r>
      <w:r>
        <w:rPr>
          <w:rFonts w:ascii="Arial" w:eastAsia="Arial" w:hAnsi="Arial" w:cs="Arial"/>
          <w:sz w:val="32"/>
          <w:szCs w:val="32"/>
        </w:rPr>
        <w:t>en el Salón de Sesiones del Honorable Congreso del Estado al mes de abril de 2025.</w:t>
      </w:r>
    </w:p>
    <w:p w14:paraId="2E67D000" w14:textId="77777777" w:rsidR="00A42AAE" w:rsidRDefault="00000000">
      <w:pPr>
        <w:spacing w:line="360" w:lineRule="auto"/>
        <w:ind w:firstLine="708"/>
        <w:jc w:val="center"/>
        <w:rPr>
          <w:rFonts w:ascii="Arial" w:eastAsia="Arial" w:hAnsi="Arial" w:cs="Arial"/>
          <w:color w:val="000000"/>
          <w:sz w:val="32"/>
          <w:szCs w:val="32"/>
        </w:rPr>
      </w:pPr>
      <w:r>
        <w:rPr>
          <w:rFonts w:ascii="Arial" w:eastAsia="Arial" w:hAnsi="Arial" w:cs="Arial"/>
          <w:b/>
          <w:color w:val="000000"/>
          <w:sz w:val="32"/>
          <w:szCs w:val="32"/>
        </w:rPr>
        <w:t>A T E N T A M E N T E</w:t>
      </w:r>
    </w:p>
    <w:p w14:paraId="5FA36EA2" w14:textId="77777777" w:rsidR="00A42AAE" w:rsidRDefault="00A42AAE">
      <w:pPr>
        <w:spacing w:after="0" w:line="360" w:lineRule="auto"/>
        <w:rPr>
          <w:rFonts w:ascii="Arial" w:eastAsia="Arial" w:hAnsi="Arial" w:cs="Arial"/>
          <w:sz w:val="32"/>
          <w:szCs w:val="32"/>
        </w:rPr>
      </w:pPr>
    </w:p>
    <w:p w14:paraId="1BD82681" w14:textId="77777777" w:rsidR="00A42AAE" w:rsidRDefault="00A42AAE">
      <w:pPr>
        <w:spacing w:after="0" w:line="360" w:lineRule="auto"/>
        <w:rPr>
          <w:rFonts w:ascii="Arial" w:eastAsia="Arial" w:hAnsi="Arial" w:cs="Arial"/>
          <w:sz w:val="32"/>
          <w:szCs w:val="32"/>
        </w:rPr>
      </w:pPr>
    </w:p>
    <w:p w14:paraId="4E49DAAF" w14:textId="77777777" w:rsidR="00A42AAE" w:rsidRDefault="00000000">
      <w:pPr>
        <w:spacing w:after="0" w:line="360" w:lineRule="auto"/>
        <w:jc w:val="center"/>
        <w:rPr>
          <w:rFonts w:ascii="Arial" w:eastAsia="Arial" w:hAnsi="Arial" w:cs="Arial"/>
          <w:b/>
          <w:sz w:val="32"/>
          <w:szCs w:val="32"/>
        </w:rPr>
      </w:pPr>
      <w:r>
        <w:rPr>
          <w:rFonts w:ascii="Arial" w:eastAsia="Arial" w:hAnsi="Arial" w:cs="Arial"/>
          <w:b/>
          <w:sz w:val="32"/>
          <w:szCs w:val="32"/>
        </w:rPr>
        <w:t xml:space="preserve">          DIP. ROSANA DIAZ REYES</w:t>
      </w:r>
    </w:p>
    <w:tbl>
      <w:tblPr>
        <w:tblStyle w:val="a"/>
        <w:tblW w:w="9071" w:type="dxa"/>
        <w:tblInd w:w="0" w:type="dxa"/>
        <w:tblLayout w:type="fixed"/>
        <w:tblLook w:val="0600" w:firstRow="0" w:lastRow="0" w:firstColumn="0" w:lastColumn="0" w:noHBand="1" w:noVBand="1"/>
      </w:tblPr>
      <w:tblGrid>
        <w:gridCol w:w="4295"/>
        <w:gridCol w:w="4776"/>
      </w:tblGrid>
      <w:tr w:rsidR="00A42AAE" w14:paraId="23014789" w14:textId="77777777">
        <w:trPr>
          <w:trHeight w:val="3060"/>
        </w:trPr>
        <w:tc>
          <w:tcPr>
            <w:tcW w:w="4295" w:type="dxa"/>
            <w:tcMar>
              <w:top w:w="0" w:type="dxa"/>
              <w:left w:w="100" w:type="dxa"/>
              <w:bottom w:w="0" w:type="dxa"/>
              <w:right w:w="100" w:type="dxa"/>
            </w:tcMar>
          </w:tcPr>
          <w:p w14:paraId="025751C8" w14:textId="77777777" w:rsidR="00A42AAE" w:rsidRDefault="00A42AAE">
            <w:pPr>
              <w:spacing w:before="240" w:after="0" w:line="360" w:lineRule="auto"/>
              <w:jc w:val="center"/>
              <w:rPr>
                <w:rFonts w:ascii="Arial" w:eastAsia="Arial" w:hAnsi="Arial" w:cs="Arial"/>
                <w:b/>
                <w:sz w:val="32"/>
                <w:szCs w:val="32"/>
              </w:rPr>
            </w:pPr>
          </w:p>
          <w:p w14:paraId="6AE90FD7" w14:textId="77777777" w:rsidR="00A42AAE" w:rsidRDefault="00A42AAE">
            <w:pPr>
              <w:spacing w:after="0" w:line="360" w:lineRule="auto"/>
              <w:jc w:val="center"/>
              <w:rPr>
                <w:rFonts w:ascii="Arial" w:eastAsia="Arial" w:hAnsi="Arial" w:cs="Arial"/>
                <w:b/>
                <w:sz w:val="32"/>
                <w:szCs w:val="32"/>
              </w:rPr>
            </w:pPr>
          </w:p>
          <w:p w14:paraId="0A118F11" w14:textId="77777777" w:rsidR="00A42AAE" w:rsidRDefault="00000000">
            <w:pPr>
              <w:spacing w:after="0" w:line="360" w:lineRule="auto"/>
              <w:jc w:val="center"/>
              <w:rPr>
                <w:rFonts w:ascii="Arial" w:eastAsia="Arial" w:hAnsi="Arial" w:cs="Arial"/>
                <w:b/>
                <w:sz w:val="32"/>
                <w:szCs w:val="32"/>
              </w:rPr>
            </w:pPr>
            <w:proofErr w:type="spellStart"/>
            <w:r>
              <w:rPr>
                <w:rFonts w:ascii="Arial" w:eastAsia="Arial" w:hAnsi="Arial" w:cs="Arial"/>
                <w:b/>
                <w:sz w:val="32"/>
                <w:szCs w:val="32"/>
              </w:rPr>
              <w:t>Dip</w:t>
            </w:r>
            <w:proofErr w:type="spellEnd"/>
            <w:r>
              <w:rPr>
                <w:rFonts w:ascii="Arial" w:eastAsia="Arial" w:hAnsi="Arial" w:cs="Arial"/>
                <w:b/>
                <w:sz w:val="32"/>
                <w:szCs w:val="32"/>
              </w:rPr>
              <w:t>. Edin Cuauhtémoc Estrada Sotelo</w:t>
            </w:r>
          </w:p>
        </w:tc>
        <w:tc>
          <w:tcPr>
            <w:tcW w:w="4776" w:type="dxa"/>
            <w:tcMar>
              <w:top w:w="0" w:type="dxa"/>
              <w:left w:w="100" w:type="dxa"/>
              <w:bottom w:w="0" w:type="dxa"/>
              <w:right w:w="100" w:type="dxa"/>
            </w:tcMar>
          </w:tcPr>
          <w:p w14:paraId="5EAA2F34" w14:textId="77777777" w:rsidR="00A42AAE" w:rsidRDefault="00A42AAE">
            <w:pPr>
              <w:spacing w:before="240" w:after="0" w:line="360" w:lineRule="auto"/>
              <w:jc w:val="center"/>
              <w:rPr>
                <w:rFonts w:ascii="Arial" w:eastAsia="Arial" w:hAnsi="Arial" w:cs="Arial"/>
                <w:b/>
                <w:sz w:val="32"/>
                <w:szCs w:val="32"/>
              </w:rPr>
            </w:pPr>
          </w:p>
          <w:p w14:paraId="41E1C84A" w14:textId="77777777" w:rsidR="00A42AAE" w:rsidRDefault="00A42AAE">
            <w:pPr>
              <w:spacing w:after="0" w:line="360" w:lineRule="auto"/>
              <w:jc w:val="center"/>
              <w:rPr>
                <w:rFonts w:ascii="Arial" w:eastAsia="Arial" w:hAnsi="Arial" w:cs="Arial"/>
                <w:b/>
                <w:sz w:val="32"/>
                <w:szCs w:val="32"/>
              </w:rPr>
            </w:pPr>
          </w:p>
          <w:p w14:paraId="0DCD9607" w14:textId="77777777" w:rsidR="00A42AAE" w:rsidRDefault="00000000">
            <w:pPr>
              <w:spacing w:after="240" w:line="360" w:lineRule="auto"/>
              <w:jc w:val="center"/>
              <w:rPr>
                <w:rFonts w:ascii="Arial" w:eastAsia="Arial" w:hAnsi="Arial" w:cs="Arial"/>
                <w:b/>
                <w:sz w:val="32"/>
                <w:szCs w:val="32"/>
              </w:rPr>
            </w:pPr>
            <w:proofErr w:type="spellStart"/>
            <w:r>
              <w:rPr>
                <w:rFonts w:ascii="Arial" w:eastAsia="Arial" w:hAnsi="Arial" w:cs="Arial"/>
                <w:b/>
                <w:sz w:val="32"/>
                <w:szCs w:val="32"/>
              </w:rPr>
              <w:t>Dip</w:t>
            </w:r>
            <w:proofErr w:type="spellEnd"/>
            <w:r>
              <w:rPr>
                <w:rFonts w:ascii="Arial" w:eastAsia="Arial" w:hAnsi="Arial" w:cs="Arial"/>
                <w:b/>
                <w:sz w:val="32"/>
                <w:szCs w:val="32"/>
              </w:rPr>
              <w:t>. Leticia Ortega Máynez</w:t>
            </w:r>
          </w:p>
        </w:tc>
      </w:tr>
      <w:tr w:rsidR="00A42AAE" w14:paraId="1BAE56A8" w14:textId="77777777">
        <w:trPr>
          <w:trHeight w:val="1584"/>
        </w:trPr>
        <w:tc>
          <w:tcPr>
            <w:tcW w:w="4295" w:type="dxa"/>
            <w:tcMar>
              <w:top w:w="0" w:type="dxa"/>
              <w:left w:w="100" w:type="dxa"/>
              <w:bottom w:w="0" w:type="dxa"/>
              <w:right w:w="100" w:type="dxa"/>
            </w:tcMar>
          </w:tcPr>
          <w:p w14:paraId="03222711" w14:textId="77777777" w:rsidR="00A42AAE" w:rsidRDefault="00000000">
            <w:pPr>
              <w:spacing w:before="240" w:after="0" w:line="360" w:lineRule="auto"/>
              <w:rPr>
                <w:rFonts w:ascii="Arial" w:eastAsia="Arial" w:hAnsi="Arial" w:cs="Arial"/>
                <w:b/>
                <w:sz w:val="32"/>
                <w:szCs w:val="32"/>
              </w:rPr>
            </w:pPr>
            <w:r>
              <w:rPr>
                <w:rFonts w:ascii="Arial" w:eastAsia="Arial" w:hAnsi="Arial" w:cs="Arial"/>
                <w:b/>
                <w:sz w:val="32"/>
                <w:szCs w:val="32"/>
              </w:rPr>
              <w:t xml:space="preserve"> </w:t>
            </w:r>
          </w:p>
          <w:p w14:paraId="504177EA" w14:textId="77777777" w:rsidR="00A42AAE" w:rsidRDefault="00000000">
            <w:pPr>
              <w:spacing w:after="0" w:line="360" w:lineRule="auto"/>
              <w:jc w:val="center"/>
              <w:rPr>
                <w:rFonts w:ascii="Arial" w:eastAsia="Arial" w:hAnsi="Arial" w:cs="Arial"/>
                <w:b/>
                <w:sz w:val="32"/>
                <w:szCs w:val="32"/>
              </w:rPr>
            </w:pPr>
            <w:proofErr w:type="spellStart"/>
            <w:r>
              <w:rPr>
                <w:rFonts w:ascii="Arial" w:eastAsia="Arial" w:hAnsi="Arial" w:cs="Arial"/>
                <w:b/>
                <w:sz w:val="32"/>
                <w:szCs w:val="32"/>
              </w:rPr>
              <w:t>Dip</w:t>
            </w:r>
            <w:proofErr w:type="spellEnd"/>
            <w:r>
              <w:rPr>
                <w:rFonts w:ascii="Arial" w:eastAsia="Arial" w:hAnsi="Arial" w:cs="Arial"/>
                <w:b/>
                <w:sz w:val="32"/>
                <w:szCs w:val="32"/>
              </w:rPr>
              <w:t>. María Antonieta Pérez Reyes</w:t>
            </w:r>
          </w:p>
          <w:p w14:paraId="7AA22373" w14:textId="77777777" w:rsidR="00A42AAE" w:rsidRDefault="00000000">
            <w:pPr>
              <w:spacing w:after="240" w:line="360" w:lineRule="auto"/>
              <w:rPr>
                <w:rFonts w:ascii="Arial" w:eastAsia="Arial" w:hAnsi="Arial" w:cs="Arial"/>
                <w:b/>
                <w:sz w:val="32"/>
                <w:szCs w:val="32"/>
              </w:rPr>
            </w:pPr>
            <w:r>
              <w:rPr>
                <w:rFonts w:ascii="Arial" w:eastAsia="Arial" w:hAnsi="Arial" w:cs="Arial"/>
                <w:b/>
                <w:sz w:val="32"/>
                <w:szCs w:val="32"/>
              </w:rPr>
              <w:t xml:space="preserve"> </w:t>
            </w:r>
          </w:p>
        </w:tc>
        <w:tc>
          <w:tcPr>
            <w:tcW w:w="4776" w:type="dxa"/>
            <w:tcMar>
              <w:top w:w="0" w:type="dxa"/>
              <w:left w:w="100" w:type="dxa"/>
              <w:bottom w:w="0" w:type="dxa"/>
              <w:right w:w="100" w:type="dxa"/>
            </w:tcMar>
          </w:tcPr>
          <w:p w14:paraId="3936E2A5" w14:textId="77777777" w:rsidR="00A42AAE" w:rsidRDefault="00A42AAE">
            <w:pPr>
              <w:spacing w:before="240" w:after="0" w:line="360" w:lineRule="auto"/>
              <w:rPr>
                <w:rFonts w:ascii="Arial" w:eastAsia="Arial" w:hAnsi="Arial" w:cs="Arial"/>
                <w:b/>
                <w:sz w:val="32"/>
                <w:szCs w:val="32"/>
              </w:rPr>
            </w:pPr>
          </w:p>
          <w:p w14:paraId="09A1B521" w14:textId="77777777" w:rsidR="00A42AAE" w:rsidRDefault="00000000">
            <w:pPr>
              <w:spacing w:after="240" w:line="360" w:lineRule="auto"/>
              <w:jc w:val="center"/>
              <w:rPr>
                <w:rFonts w:ascii="Arial" w:eastAsia="Arial" w:hAnsi="Arial" w:cs="Arial"/>
                <w:b/>
                <w:sz w:val="32"/>
                <w:szCs w:val="32"/>
              </w:rPr>
            </w:pPr>
            <w:proofErr w:type="spellStart"/>
            <w:r>
              <w:rPr>
                <w:rFonts w:ascii="Arial" w:eastAsia="Arial" w:hAnsi="Arial" w:cs="Arial"/>
                <w:b/>
                <w:sz w:val="32"/>
                <w:szCs w:val="32"/>
              </w:rPr>
              <w:t>Dip</w:t>
            </w:r>
            <w:proofErr w:type="spellEnd"/>
            <w:r>
              <w:rPr>
                <w:rFonts w:ascii="Arial" w:eastAsia="Arial" w:hAnsi="Arial" w:cs="Arial"/>
                <w:b/>
                <w:sz w:val="32"/>
                <w:szCs w:val="32"/>
              </w:rPr>
              <w:t>. Magdalena Rentería Pérez</w:t>
            </w:r>
          </w:p>
        </w:tc>
      </w:tr>
      <w:tr w:rsidR="00A42AAE" w14:paraId="70FB35EB" w14:textId="77777777">
        <w:trPr>
          <w:trHeight w:val="1990"/>
        </w:trPr>
        <w:tc>
          <w:tcPr>
            <w:tcW w:w="4295" w:type="dxa"/>
            <w:tcMar>
              <w:top w:w="0" w:type="dxa"/>
              <w:left w:w="100" w:type="dxa"/>
              <w:bottom w:w="0" w:type="dxa"/>
              <w:right w:w="100" w:type="dxa"/>
            </w:tcMar>
          </w:tcPr>
          <w:p w14:paraId="0A3F3032" w14:textId="77777777" w:rsidR="00A42AAE" w:rsidRDefault="00A42AAE">
            <w:pPr>
              <w:spacing w:before="240" w:after="0" w:line="360" w:lineRule="auto"/>
              <w:rPr>
                <w:rFonts w:ascii="Arial" w:eastAsia="Arial" w:hAnsi="Arial" w:cs="Arial"/>
                <w:b/>
                <w:sz w:val="32"/>
                <w:szCs w:val="32"/>
              </w:rPr>
            </w:pPr>
          </w:p>
          <w:p w14:paraId="35289461" w14:textId="77777777" w:rsidR="00A42AAE" w:rsidRDefault="00000000">
            <w:pPr>
              <w:spacing w:after="0" w:line="360" w:lineRule="auto"/>
              <w:jc w:val="center"/>
              <w:rPr>
                <w:rFonts w:ascii="Arial" w:eastAsia="Arial" w:hAnsi="Arial" w:cs="Arial"/>
                <w:b/>
                <w:sz w:val="32"/>
                <w:szCs w:val="32"/>
              </w:rPr>
            </w:pPr>
            <w:proofErr w:type="spellStart"/>
            <w:r>
              <w:rPr>
                <w:rFonts w:ascii="Arial" w:eastAsia="Arial" w:hAnsi="Arial" w:cs="Arial"/>
                <w:b/>
                <w:sz w:val="32"/>
                <w:szCs w:val="32"/>
              </w:rPr>
              <w:t>Dip</w:t>
            </w:r>
            <w:proofErr w:type="spellEnd"/>
            <w:r>
              <w:rPr>
                <w:rFonts w:ascii="Arial" w:eastAsia="Arial" w:hAnsi="Arial" w:cs="Arial"/>
                <w:b/>
                <w:sz w:val="32"/>
                <w:szCs w:val="32"/>
              </w:rPr>
              <w:t>. Brenda Francisca Ríos Prieto</w:t>
            </w:r>
          </w:p>
          <w:p w14:paraId="70D11923" w14:textId="77777777" w:rsidR="00A42AAE" w:rsidRDefault="00000000">
            <w:pPr>
              <w:spacing w:after="0" w:line="360" w:lineRule="auto"/>
              <w:jc w:val="center"/>
              <w:rPr>
                <w:rFonts w:ascii="Arial" w:eastAsia="Arial" w:hAnsi="Arial" w:cs="Arial"/>
                <w:b/>
                <w:sz w:val="32"/>
                <w:szCs w:val="32"/>
              </w:rPr>
            </w:pPr>
            <w:r>
              <w:rPr>
                <w:rFonts w:ascii="Arial" w:eastAsia="Arial" w:hAnsi="Arial" w:cs="Arial"/>
                <w:b/>
                <w:sz w:val="32"/>
                <w:szCs w:val="32"/>
              </w:rPr>
              <w:t xml:space="preserve"> </w:t>
            </w:r>
          </w:p>
          <w:p w14:paraId="20BE53FF" w14:textId="77777777" w:rsidR="00A42AAE" w:rsidRDefault="00A42AAE">
            <w:pPr>
              <w:spacing w:after="0" w:line="360" w:lineRule="auto"/>
              <w:jc w:val="center"/>
              <w:rPr>
                <w:rFonts w:ascii="Arial" w:eastAsia="Arial" w:hAnsi="Arial" w:cs="Arial"/>
                <w:b/>
                <w:sz w:val="32"/>
                <w:szCs w:val="32"/>
              </w:rPr>
            </w:pPr>
          </w:p>
          <w:p w14:paraId="40A90FEA" w14:textId="77777777" w:rsidR="00A42AAE" w:rsidRDefault="00000000">
            <w:pPr>
              <w:spacing w:after="240" w:line="360" w:lineRule="auto"/>
              <w:jc w:val="center"/>
              <w:rPr>
                <w:rFonts w:ascii="Arial" w:eastAsia="Arial" w:hAnsi="Arial" w:cs="Arial"/>
                <w:b/>
                <w:sz w:val="32"/>
                <w:szCs w:val="32"/>
              </w:rPr>
            </w:pPr>
            <w:r>
              <w:rPr>
                <w:rFonts w:ascii="Arial" w:eastAsia="Arial" w:hAnsi="Arial" w:cs="Arial"/>
                <w:b/>
                <w:sz w:val="32"/>
                <w:szCs w:val="32"/>
              </w:rPr>
              <w:t xml:space="preserve">   </w:t>
            </w:r>
          </w:p>
        </w:tc>
        <w:tc>
          <w:tcPr>
            <w:tcW w:w="4776" w:type="dxa"/>
            <w:tcMar>
              <w:top w:w="0" w:type="dxa"/>
              <w:left w:w="100" w:type="dxa"/>
              <w:bottom w:w="0" w:type="dxa"/>
              <w:right w:w="100" w:type="dxa"/>
            </w:tcMar>
          </w:tcPr>
          <w:p w14:paraId="30D45947" w14:textId="77777777" w:rsidR="00A42AAE" w:rsidRDefault="00A42AAE">
            <w:pPr>
              <w:spacing w:before="240" w:after="0" w:line="360" w:lineRule="auto"/>
              <w:rPr>
                <w:rFonts w:ascii="Arial" w:eastAsia="Arial" w:hAnsi="Arial" w:cs="Arial"/>
                <w:b/>
                <w:sz w:val="32"/>
                <w:szCs w:val="32"/>
              </w:rPr>
            </w:pPr>
          </w:p>
          <w:p w14:paraId="5D71C764" w14:textId="77777777" w:rsidR="00A42AAE" w:rsidRDefault="00000000">
            <w:pPr>
              <w:spacing w:after="240" w:line="360" w:lineRule="auto"/>
              <w:jc w:val="center"/>
              <w:rPr>
                <w:rFonts w:ascii="Arial" w:eastAsia="Arial" w:hAnsi="Arial" w:cs="Arial"/>
                <w:b/>
                <w:sz w:val="32"/>
                <w:szCs w:val="32"/>
              </w:rPr>
            </w:pPr>
            <w:proofErr w:type="spellStart"/>
            <w:r>
              <w:rPr>
                <w:rFonts w:ascii="Arial" w:eastAsia="Arial" w:hAnsi="Arial" w:cs="Arial"/>
                <w:b/>
                <w:sz w:val="32"/>
                <w:szCs w:val="32"/>
              </w:rPr>
              <w:t>Dip</w:t>
            </w:r>
            <w:proofErr w:type="spellEnd"/>
            <w:r>
              <w:rPr>
                <w:rFonts w:ascii="Arial" w:eastAsia="Arial" w:hAnsi="Arial" w:cs="Arial"/>
                <w:b/>
                <w:sz w:val="32"/>
                <w:szCs w:val="32"/>
              </w:rPr>
              <w:t>. Edith Palma Ontiveros</w:t>
            </w:r>
          </w:p>
        </w:tc>
      </w:tr>
      <w:tr w:rsidR="00A42AAE" w14:paraId="2905218E" w14:textId="77777777">
        <w:trPr>
          <w:trHeight w:val="1355"/>
        </w:trPr>
        <w:tc>
          <w:tcPr>
            <w:tcW w:w="4295" w:type="dxa"/>
            <w:tcMar>
              <w:top w:w="0" w:type="dxa"/>
              <w:left w:w="100" w:type="dxa"/>
              <w:bottom w:w="0" w:type="dxa"/>
              <w:right w:w="100" w:type="dxa"/>
            </w:tcMar>
          </w:tcPr>
          <w:p w14:paraId="70507C78" w14:textId="77777777" w:rsidR="00A42AAE" w:rsidRDefault="00000000">
            <w:pPr>
              <w:spacing w:before="240" w:after="0" w:line="360" w:lineRule="auto"/>
              <w:jc w:val="center"/>
              <w:rPr>
                <w:rFonts w:ascii="Arial" w:eastAsia="Arial" w:hAnsi="Arial" w:cs="Arial"/>
                <w:b/>
                <w:sz w:val="32"/>
                <w:szCs w:val="32"/>
              </w:rPr>
            </w:pPr>
            <w:proofErr w:type="spellStart"/>
            <w:r>
              <w:rPr>
                <w:rFonts w:ascii="Arial" w:eastAsia="Arial" w:hAnsi="Arial" w:cs="Arial"/>
                <w:b/>
                <w:sz w:val="32"/>
                <w:szCs w:val="32"/>
              </w:rPr>
              <w:t>Dip</w:t>
            </w:r>
            <w:proofErr w:type="spellEnd"/>
            <w:r>
              <w:rPr>
                <w:rFonts w:ascii="Arial" w:eastAsia="Arial" w:hAnsi="Arial" w:cs="Arial"/>
                <w:b/>
                <w:sz w:val="32"/>
                <w:szCs w:val="32"/>
              </w:rPr>
              <w:t>. Herminia Gómez Carrasco</w:t>
            </w:r>
          </w:p>
        </w:tc>
        <w:tc>
          <w:tcPr>
            <w:tcW w:w="4776" w:type="dxa"/>
            <w:tcMar>
              <w:top w:w="0" w:type="dxa"/>
              <w:left w:w="100" w:type="dxa"/>
              <w:bottom w:w="0" w:type="dxa"/>
              <w:right w:w="100" w:type="dxa"/>
            </w:tcMar>
          </w:tcPr>
          <w:p w14:paraId="5AC3EA6C" w14:textId="77777777" w:rsidR="00A42AAE" w:rsidRDefault="00000000">
            <w:pPr>
              <w:spacing w:before="240" w:after="240" w:line="360" w:lineRule="auto"/>
              <w:jc w:val="center"/>
              <w:rPr>
                <w:rFonts w:ascii="Arial" w:eastAsia="Arial" w:hAnsi="Arial" w:cs="Arial"/>
                <w:b/>
                <w:sz w:val="32"/>
                <w:szCs w:val="32"/>
              </w:rPr>
            </w:pPr>
            <w:proofErr w:type="spellStart"/>
            <w:r>
              <w:rPr>
                <w:rFonts w:ascii="Arial" w:eastAsia="Arial" w:hAnsi="Arial" w:cs="Arial"/>
                <w:b/>
                <w:sz w:val="32"/>
                <w:szCs w:val="32"/>
              </w:rPr>
              <w:t>Dip</w:t>
            </w:r>
            <w:proofErr w:type="spellEnd"/>
            <w:r>
              <w:rPr>
                <w:rFonts w:ascii="Arial" w:eastAsia="Arial" w:hAnsi="Arial" w:cs="Arial"/>
                <w:b/>
                <w:sz w:val="32"/>
                <w:szCs w:val="32"/>
              </w:rPr>
              <w:t>. Jael Argüelles Díaz</w:t>
            </w:r>
          </w:p>
        </w:tc>
      </w:tr>
      <w:tr w:rsidR="00A42AAE" w14:paraId="3CE9919A" w14:textId="77777777">
        <w:trPr>
          <w:trHeight w:val="1867"/>
        </w:trPr>
        <w:tc>
          <w:tcPr>
            <w:tcW w:w="4295" w:type="dxa"/>
            <w:tcMar>
              <w:top w:w="0" w:type="dxa"/>
              <w:left w:w="100" w:type="dxa"/>
              <w:bottom w:w="0" w:type="dxa"/>
              <w:right w:w="100" w:type="dxa"/>
            </w:tcMar>
          </w:tcPr>
          <w:p w14:paraId="44E502C7" w14:textId="77777777" w:rsidR="00A42AAE" w:rsidRDefault="00A42AAE">
            <w:pPr>
              <w:spacing w:before="240" w:after="0" w:line="360" w:lineRule="auto"/>
              <w:jc w:val="center"/>
              <w:rPr>
                <w:rFonts w:ascii="Arial" w:eastAsia="Arial" w:hAnsi="Arial" w:cs="Arial"/>
                <w:b/>
                <w:sz w:val="32"/>
                <w:szCs w:val="32"/>
              </w:rPr>
            </w:pPr>
          </w:p>
          <w:p w14:paraId="20A85CFE" w14:textId="77777777" w:rsidR="00A42AAE" w:rsidRDefault="00000000">
            <w:pPr>
              <w:spacing w:after="240" w:line="360" w:lineRule="auto"/>
              <w:jc w:val="center"/>
              <w:rPr>
                <w:rFonts w:ascii="Arial" w:eastAsia="Arial" w:hAnsi="Arial" w:cs="Arial"/>
                <w:b/>
                <w:sz w:val="32"/>
                <w:szCs w:val="32"/>
              </w:rPr>
            </w:pPr>
            <w:proofErr w:type="spellStart"/>
            <w:r>
              <w:rPr>
                <w:rFonts w:ascii="Arial" w:eastAsia="Arial" w:hAnsi="Arial" w:cs="Arial"/>
                <w:b/>
                <w:sz w:val="32"/>
                <w:szCs w:val="32"/>
              </w:rPr>
              <w:t>Dip</w:t>
            </w:r>
            <w:proofErr w:type="spellEnd"/>
            <w:r>
              <w:rPr>
                <w:rFonts w:ascii="Arial" w:eastAsia="Arial" w:hAnsi="Arial" w:cs="Arial"/>
                <w:b/>
                <w:sz w:val="32"/>
                <w:szCs w:val="32"/>
              </w:rPr>
              <w:t>. Pedro Torres Estrada</w:t>
            </w:r>
          </w:p>
        </w:tc>
        <w:tc>
          <w:tcPr>
            <w:tcW w:w="4776" w:type="dxa"/>
            <w:tcMar>
              <w:top w:w="0" w:type="dxa"/>
              <w:left w:w="100" w:type="dxa"/>
              <w:bottom w:w="0" w:type="dxa"/>
              <w:right w:w="100" w:type="dxa"/>
            </w:tcMar>
          </w:tcPr>
          <w:p w14:paraId="760447CC" w14:textId="77777777" w:rsidR="00A42AAE" w:rsidRDefault="00A42AAE">
            <w:pPr>
              <w:spacing w:before="240" w:after="0" w:line="360" w:lineRule="auto"/>
              <w:rPr>
                <w:rFonts w:ascii="Arial" w:eastAsia="Arial" w:hAnsi="Arial" w:cs="Arial"/>
                <w:b/>
                <w:sz w:val="32"/>
                <w:szCs w:val="32"/>
              </w:rPr>
            </w:pPr>
          </w:p>
          <w:p w14:paraId="1D4360E9" w14:textId="77777777" w:rsidR="00A42AAE" w:rsidRDefault="00000000">
            <w:pPr>
              <w:spacing w:after="240" w:line="360" w:lineRule="auto"/>
              <w:jc w:val="center"/>
              <w:rPr>
                <w:rFonts w:ascii="Arial" w:eastAsia="Arial" w:hAnsi="Arial" w:cs="Arial"/>
                <w:b/>
                <w:sz w:val="32"/>
                <w:szCs w:val="32"/>
              </w:rPr>
            </w:pPr>
            <w:proofErr w:type="spellStart"/>
            <w:r>
              <w:rPr>
                <w:rFonts w:ascii="Arial" w:eastAsia="Arial" w:hAnsi="Arial" w:cs="Arial"/>
                <w:b/>
                <w:sz w:val="32"/>
                <w:szCs w:val="32"/>
              </w:rPr>
              <w:t>Dip</w:t>
            </w:r>
            <w:proofErr w:type="spellEnd"/>
            <w:r>
              <w:rPr>
                <w:rFonts w:ascii="Arial" w:eastAsia="Arial" w:hAnsi="Arial" w:cs="Arial"/>
                <w:b/>
                <w:sz w:val="32"/>
                <w:szCs w:val="32"/>
              </w:rPr>
              <w:t>. Óscar Daniel Avitia Arellanes</w:t>
            </w:r>
          </w:p>
        </w:tc>
      </w:tr>
      <w:tr w:rsidR="00A42AAE" w14:paraId="32535EED" w14:textId="77777777">
        <w:trPr>
          <w:trHeight w:val="1278"/>
        </w:trPr>
        <w:tc>
          <w:tcPr>
            <w:tcW w:w="9071" w:type="dxa"/>
            <w:gridSpan w:val="2"/>
            <w:tcMar>
              <w:top w:w="0" w:type="dxa"/>
              <w:left w:w="100" w:type="dxa"/>
              <w:bottom w:w="0" w:type="dxa"/>
              <w:right w:w="100" w:type="dxa"/>
            </w:tcMar>
          </w:tcPr>
          <w:p w14:paraId="67839B4F" w14:textId="77777777" w:rsidR="00A42AAE" w:rsidRDefault="00A42AAE">
            <w:pPr>
              <w:spacing w:before="240" w:after="0" w:line="360" w:lineRule="auto"/>
              <w:rPr>
                <w:rFonts w:ascii="Arial" w:eastAsia="Arial" w:hAnsi="Arial" w:cs="Arial"/>
                <w:b/>
                <w:sz w:val="32"/>
                <w:szCs w:val="32"/>
              </w:rPr>
            </w:pPr>
          </w:p>
          <w:p w14:paraId="3EEA01C9" w14:textId="77777777" w:rsidR="00A42AAE" w:rsidRDefault="00000000">
            <w:pPr>
              <w:spacing w:after="240" w:line="360" w:lineRule="auto"/>
              <w:jc w:val="center"/>
              <w:rPr>
                <w:rFonts w:ascii="Arial" w:eastAsia="Arial" w:hAnsi="Arial" w:cs="Arial"/>
                <w:b/>
                <w:sz w:val="32"/>
                <w:szCs w:val="32"/>
              </w:rPr>
            </w:pPr>
            <w:proofErr w:type="spellStart"/>
            <w:r>
              <w:rPr>
                <w:rFonts w:ascii="Arial" w:eastAsia="Arial" w:hAnsi="Arial" w:cs="Arial"/>
                <w:b/>
                <w:sz w:val="32"/>
                <w:szCs w:val="32"/>
              </w:rPr>
              <w:t>Dip</w:t>
            </w:r>
            <w:proofErr w:type="spellEnd"/>
            <w:r>
              <w:rPr>
                <w:rFonts w:ascii="Arial" w:eastAsia="Arial" w:hAnsi="Arial" w:cs="Arial"/>
                <w:b/>
                <w:sz w:val="32"/>
                <w:szCs w:val="32"/>
              </w:rPr>
              <w:t>. Elizabeth Guzmán Argueta</w:t>
            </w:r>
          </w:p>
        </w:tc>
      </w:tr>
    </w:tbl>
    <w:p w14:paraId="436D7AF2" w14:textId="77777777" w:rsidR="00A42AAE" w:rsidRDefault="00A42AAE">
      <w:pPr>
        <w:widowControl w:val="0"/>
        <w:spacing w:after="240" w:line="240" w:lineRule="auto"/>
        <w:ind w:left="4956" w:hanging="4956"/>
        <w:jc w:val="center"/>
        <w:rPr>
          <w:rFonts w:ascii="Century Gothic" w:eastAsia="Century Gothic" w:hAnsi="Century Gothic" w:cs="Century Gothic"/>
          <w:b/>
          <w:i/>
          <w:sz w:val="16"/>
          <w:szCs w:val="16"/>
        </w:rPr>
      </w:pPr>
    </w:p>
    <w:p w14:paraId="5A126F61" w14:textId="77777777" w:rsidR="00A42AAE" w:rsidRDefault="00000000">
      <w:pPr>
        <w:widowControl w:val="0"/>
        <w:spacing w:after="240" w:line="240" w:lineRule="auto"/>
        <w:ind w:left="2976" w:right="2472"/>
        <w:jc w:val="center"/>
        <w:rPr>
          <w:rFonts w:ascii="Century Gothic" w:eastAsia="Century Gothic" w:hAnsi="Century Gothic" w:cs="Century Gothic"/>
          <w:b/>
          <w:i/>
          <w:sz w:val="14"/>
          <w:szCs w:val="14"/>
        </w:rPr>
      </w:pPr>
      <w:r>
        <w:rPr>
          <w:rFonts w:ascii="Century Gothic" w:eastAsia="Century Gothic" w:hAnsi="Century Gothic" w:cs="Century Gothic"/>
          <w:b/>
          <w:i/>
          <w:sz w:val="14"/>
          <w:szCs w:val="14"/>
        </w:rPr>
        <w:t xml:space="preserve">La presente hoja de firmas corresponde a la Iniciativa con carácter de Decreto a fin de regular el carácter permanente de las placas vehiculares y la identificación mediante hologramas o engomado </w:t>
      </w:r>
    </w:p>
    <w:p w14:paraId="1047B16F" w14:textId="77777777" w:rsidR="00A42AAE" w:rsidRDefault="00A42AAE">
      <w:pPr>
        <w:ind w:left="2976" w:right="2472"/>
        <w:rPr>
          <w:b/>
          <w:i/>
          <w:sz w:val="20"/>
          <w:szCs w:val="20"/>
        </w:rPr>
      </w:pPr>
    </w:p>
    <w:sectPr w:rsidR="00A42AAE">
      <w:headerReference w:type="default" r:id="rId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5B9AB9" w14:textId="77777777" w:rsidR="008D640F" w:rsidRDefault="008D640F">
      <w:pPr>
        <w:spacing w:after="0" w:line="240" w:lineRule="auto"/>
      </w:pPr>
      <w:r>
        <w:separator/>
      </w:r>
    </w:p>
  </w:endnote>
  <w:endnote w:type="continuationSeparator" w:id="0">
    <w:p w14:paraId="1DE91550" w14:textId="77777777" w:rsidR="008D640F" w:rsidRDefault="008D6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658AD0C6-67B6-463C-9586-7EE432292645}"/>
    <w:embedItalic r:id="rId2" w:fontKey="{C45E2C8B-865E-4837-9771-912D05758B1C}"/>
    <w:embedBoldItalic r:id="rId3" w:fontKey="{F869A4B1-DA3C-4E9B-8F66-4B6C82DD59E1}"/>
  </w:font>
  <w:font w:name="Play">
    <w:charset w:val="00"/>
    <w:family w:val="auto"/>
    <w:pitch w:val="default"/>
    <w:embedRegular r:id="rId4" w:fontKey="{F6114B01-7566-43BB-A3BB-C19642F02AF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C825B101-61B8-41DE-9C3F-CCD03584D2DD}"/>
    <w:embedBoldItalic r:id="rId6" w:fontKey="{1BC94C12-2C5C-4943-8B45-901D43638DA3}"/>
  </w:font>
  <w:font w:name="Calibri">
    <w:panose1 w:val="020F0502020204030204"/>
    <w:charset w:val="00"/>
    <w:family w:val="swiss"/>
    <w:pitch w:val="variable"/>
    <w:sig w:usb0="E4002EFF" w:usb1="C000247B" w:usb2="00000009" w:usb3="00000000" w:csb0="000001FF" w:csb1="00000000"/>
    <w:embedRegular r:id="rId7" w:fontKey="{B3D50CCC-82CE-43C0-A851-A7BCBC2F535D}"/>
  </w:font>
  <w:font w:name="Arabic Typesetting">
    <w:charset w:val="B2"/>
    <w:family w:val="script"/>
    <w:pitch w:val="variable"/>
    <w:sig w:usb0="80002007" w:usb1="80000000" w:usb2="00000008" w:usb3="00000000" w:csb0="000000D3" w:csb1="00000000"/>
    <w:embedRegular r:id="rId8" w:fontKey="{D7B4EB43-552F-4EA0-9955-8396060BF978}"/>
  </w:font>
  <w:font w:name="Cambria">
    <w:panose1 w:val="02040503050406030204"/>
    <w:charset w:val="00"/>
    <w:family w:val="roman"/>
    <w:pitch w:val="variable"/>
    <w:sig w:usb0="E00006FF" w:usb1="420024FF" w:usb2="02000000" w:usb3="00000000" w:csb0="0000019F" w:csb1="00000000"/>
    <w:embedRegular r:id="rId9" w:fontKey="{BC99AE90-FE70-4FA0-8B14-7759C9C237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710D2F" w14:textId="77777777" w:rsidR="008D640F" w:rsidRDefault="008D640F">
      <w:pPr>
        <w:spacing w:after="0" w:line="240" w:lineRule="auto"/>
      </w:pPr>
      <w:r>
        <w:separator/>
      </w:r>
    </w:p>
  </w:footnote>
  <w:footnote w:type="continuationSeparator" w:id="0">
    <w:p w14:paraId="00081B64" w14:textId="77777777" w:rsidR="008D640F" w:rsidRDefault="008D6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266AA" w14:textId="77777777" w:rsidR="00A42AAE" w:rsidRDefault="00000000">
    <w:pPr>
      <w:tabs>
        <w:tab w:val="center" w:pos="4419"/>
        <w:tab w:val="right" w:pos="8838"/>
      </w:tabs>
      <w:spacing w:after="0" w:line="276" w:lineRule="auto"/>
      <w:jc w:val="right"/>
      <w:rPr>
        <w:rFonts w:ascii="Century Gothic" w:eastAsia="Century Gothic" w:hAnsi="Century Gothic" w:cs="Century Gothic"/>
        <w:b/>
        <w:i/>
      </w:rPr>
    </w:pPr>
    <w:r>
      <w:rPr>
        <w:rFonts w:ascii="Century Gothic" w:eastAsia="Century Gothic" w:hAnsi="Century Gothic" w:cs="Century Gothic"/>
        <w:b/>
        <w:i/>
      </w:rPr>
      <w:t xml:space="preserve">‘’2025, Bicentenario de la Primera Constitución del Estado de Chihuahua” </w:t>
    </w:r>
  </w:p>
  <w:p w14:paraId="45392E92" w14:textId="77777777" w:rsidR="00A42AAE" w:rsidRDefault="00000000">
    <w:pPr>
      <w:tabs>
        <w:tab w:val="center" w:pos="4419"/>
        <w:tab w:val="right" w:pos="8838"/>
      </w:tabs>
      <w:spacing w:after="0" w:line="276" w:lineRule="auto"/>
      <w:jc w:val="right"/>
      <w:rPr>
        <w:rFonts w:ascii="Century Gothic" w:eastAsia="Century Gothic" w:hAnsi="Century Gothic" w:cs="Century Gothic"/>
        <w:b/>
        <w:i/>
        <w:sz w:val="23"/>
        <w:szCs w:val="23"/>
      </w:rPr>
    </w:pPr>
    <w:r>
      <w:rPr>
        <w:rFonts w:ascii="Century Gothic" w:eastAsia="Century Gothic" w:hAnsi="Century Gothic" w:cs="Century Gothic"/>
        <w:b/>
        <w:i/>
        <w:sz w:val="23"/>
        <w:szCs w:val="23"/>
      </w:rPr>
      <w:t xml:space="preserve">Grupo Parlamentario de MORENA </w:t>
    </w:r>
  </w:p>
  <w:p w14:paraId="3DBC7453" w14:textId="77777777" w:rsidR="00A42AAE" w:rsidRDefault="00A42AAE">
    <w:pPr>
      <w:tabs>
        <w:tab w:val="center" w:pos="4419"/>
        <w:tab w:val="right" w:pos="8838"/>
      </w:tabs>
      <w:spacing w:after="0" w:line="276" w:lineRule="auto"/>
      <w:jc w:val="right"/>
      <w:rPr>
        <w:rFonts w:ascii="Century Gothic" w:eastAsia="Century Gothic" w:hAnsi="Century Gothic" w:cs="Century Gothic"/>
        <w:b/>
        <w:i/>
      </w:rPr>
    </w:pPr>
  </w:p>
  <w:p w14:paraId="01C77377" w14:textId="77777777" w:rsidR="00A42AAE" w:rsidRDefault="00000000">
    <w:pPr>
      <w:tabs>
        <w:tab w:val="center" w:pos="4419"/>
        <w:tab w:val="right" w:pos="8838"/>
      </w:tabs>
      <w:spacing w:after="0" w:line="276" w:lineRule="auto"/>
      <w:jc w:val="right"/>
      <w:rPr>
        <w:rFonts w:ascii="Arial" w:eastAsia="Arial" w:hAnsi="Arial" w:cs="Arial"/>
      </w:rPr>
    </w:pPr>
    <w:proofErr w:type="spellStart"/>
    <w:r>
      <w:rPr>
        <w:rFonts w:ascii="Century Gothic" w:eastAsia="Century Gothic" w:hAnsi="Century Gothic" w:cs="Century Gothic"/>
        <w:b/>
        <w:i/>
      </w:rPr>
      <w:t>Dip</w:t>
    </w:r>
    <w:proofErr w:type="spellEnd"/>
    <w:r>
      <w:rPr>
        <w:rFonts w:ascii="Century Gothic" w:eastAsia="Century Gothic" w:hAnsi="Century Gothic" w:cs="Century Gothic"/>
        <w:b/>
        <w:i/>
      </w:rPr>
      <w:t>. Rosana Díaz Reyes</w:t>
    </w:r>
  </w:p>
  <w:p w14:paraId="5BA55181" w14:textId="77777777" w:rsidR="00A42AAE" w:rsidRDefault="00A42AAE">
    <w:pPr>
      <w:tabs>
        <w:tab w:val="center" w:pos="4419"/>
        <w:tab w:val="right" w:pos="8838"/>
      </w:tabs>
      <w:spacing w:after="0" w:line="240" w:lineRule="auto"/>
      <w:rPr>
        <w:rFonts w:ascii="Calibri" w:eastAsia="Calibri" w:hAnsi="Calibri" w:cs="Calibri"/>
      </w:rPr>
    </w:pPr>
  </w:p>
  <w:p w14:paraId="7034A152" w14:textId="77777777" w:rsidR="00A42AAE" w:rsidRDefault="00A42AAE">
    <w:pPr>
      <w:tabs>
        <w:tab w:val="center" w:pos="4419"/>
        <w:tab w:val="right" w:pos="8838"/>
      </w:tabs>
      <w:spacing w:after="0" w:line="240" w:lineRule="auto"/>
      <w:jc w:val="right"/>
      <w:rPr>
        <w:rFonts w:ascii="Arabic Typesetting" w:eastAsia="Arabic Typesetting" w:hAnsi="Arabic Typesetting" w:cs="Arabic Typesetting"/>
        <w:sz w:val="40"/>
        <w:szCs w:val="40"/>
      </w:rPr>
    </w:pPr>
  </w:p>
  <w:p w14:paraId="2E1DC75E" w14:textId="77777777" w:rsidR="00A42AAE" w:rsidRDefault="00A42AAE">
    <w:pPr>
      <w:tabs>
        <w:tab w:val="left" w:pos="1260"/>
      </w:tabs>
      <w:spacing w:after="0" w:line="240" w:lineRule="auto"/>
      <w:rPr>
        <w:rFonts w:ascii="Arial" w:eastAsia="Arial" w:hAnsi="Arial" w:cs="Arial"/>
      </w:rPr>
    </w:pPr>
  </w:p>
  <w:p w14:paraId="47762F4C" w14:textId="77777777" w:rsidR="00A42AAE" w:rsidRDefault="00A42AAE">
    <w:pPr>
      <w:pBdr>
        <w:top w:val="nil"/>
        <w:left w:val="nil"/>
        <w:bottom w:val="nil"/>
        <w:right w:val="nil"/>
        <w:between w:val="nil"/>
      </w:pBd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AAE"/>
    <w:rsid w:val="0025124F"/>
    <w:rsid w:val="00845EBB"/>
    <w:rsid w:val="008D640F"/>
    <w:rsid w:val="00A42A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304B0"/>
  <w15:docId w15:val="{545D6BCC-6B8B-4147-988F-567FA00EF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1795</Words>
  <Characters>9878</Characters>
  <Application>Microsoft Office Word</Application>
  <DocSecurity>0</DocSecurity>
  <Lines>82</Lines>
  <Paragraphs>23</Paragraphs>
  <ScaleCrop>false</ScaleCrop>
  <Company/>
  <LinksUpToDate>false</LinksUpToDate>
  <CharactersWithSpaces>11650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2025-03-31T15:52:00Z</dcterms:created>
  <dcterms:modified xsi:type="dcterms:W3CDTF">2025-03-31T15:52:00Z</dcterms:modified>
</cp:coreProperties>
</file>