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290D" w14:textId="77777777" w:rsidR="00762173" w:rsidRDefault="004C2C38">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0C089671" w14:textId="77777777" w:rsidR="00762173" w:rsidRDefault="004C2C38">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14:paraId="408021CD" w14:textId="77777777" w:rsidR="00762173" w:rsidRDefault="004C2C38">
      <w:pPr>
        <w:spacing w:before="240" w:after="240" w:line="360" w:lineRule="auto"/>
        <w:jc w:val="both"/>
      </w:pPr>
      <w:r>
        <w:rPr>
          <w:rFonts w:ascii="Century Gothic" w:eastAsia="Century Gothic" w:hAnsi="Century Gothic" w:cs="Century Gothic"/>
          <w:b/>
          <w:sz w:val="24"/>
          <w:szCs w:val="24"/>
        </w:rPr>
        <w:t>C. ILSE AMÉRICA GARCÍA SOTO, BENJAMÍN CARRERA CHÁVEZ,EDIN CUAUHTEMOC ESTRADA SOTELO, LETICIA ORTEGA MÁYNEZ,ÓSCAR DANIEL AVITITA ARELLANES, ROSANA DÍAZ REYES, GUSTAVO DE LA ROSA HICKERSON, MAGDALENA RENTERIA PÉREZ, MARÍA ANTONIETA PÉREZ REYES, DAVID ÓSCAR C</w:t>
      </w:r>
      <w:r>
        <w:rPr>
          <w:rFonts w:ascii="Century Gothic" w:eastAsia="Century Gothic" w:hAnsi="Century Gothic" w:cs="Century Gothic"/>
          <w:b/>
          <w:sz w:val="24"/>
          <w:szCs w:val="24"/>
        </w:rPr>
        <w:t>ASTREJON RIVAS</w:t>
      </w:r>
      <w:r>
        <w:rPr>
          <w:rFonts w:ascii="Century Gothic" w:eastAsia="Century Gothic" w:hAnsi="Century Gothic" w:cs="Century Gothic"/>
          <w:sz w:val="24"/>
          <w:szCs w:val="24"/>
        </w:rPr>
        <w:t>, en nuestro carácter de Diputados de la Sexagésima Séptima Legislatura del H. Congreso del Estado de Chihuahua, e integrantes del Grupo Parlamentario de MORENA con fundamento en lo que disponen los artículos 167, fracción l, de la Ley Orgáni</w:t>
      </w:r>
      <w:r>
        <w:rPr>
          <w:rFonts w:ascii="Century Gothic" w:eastAsia="Century Gothic" w:hAnsi="Century Gothic" w:cs="Century Gothic"/>
          <w:sz w:val="24"/>
          <w:szCs w:val="24"/>
        </w:rPr>
        <w:t xml:space="preserve">ca del Poder Legislativo del Estado de Chihuahua: artículos 75,76 y 77 del Reglamento Interior y de Prácticas Parlamentarias del Poder Legislativo; comparezco ante esta Honorable Soberanía para presentar Iniciativa con carácter de Decreto, </w:t>
      </w:r>
      <w:r>
        <w:rPr>
          <w:rFonts w:ascii="Century Gothic" w:eastAsia="Century Gothic" w:hAnsi="Century Gothic" w:cs="Century Gothic"/>
          <w:b/>
          <w:sz w:val="24"/>
          <w:szCs w:val="24"/>
        </w:rPr>
        <w:t>a fin de Reforma</w:t>
      </w:r>
      <w:r>
        <w:rPr>
          <w:rFonts w:ascii="Century Gothic" w:eastAsia="Century Gothic" w:hAnsi="Century Gothic" w:cs="Century Gothic"/>
          <w:b/>
          <w:sz w:val="24"/>
          <w:szCs w:val="24"/>
        </w:rPr>
        <w:t>r el artículo 60  del Código Civil del Estado de Chihuahua, para que los progenitores puedan decidir el orden de los apellidos de sus hijas e hijos</w:t>
      </w:r>
      <w:r>
        <w:rPr>
          <w:rFonts w:ascii="Century Gothic" w:eastAsia="Century Gothic" w:hAnsi="Century Gothic" w:cs="Century Gothic"/>
          <w:sz w:val="24"/>
          <w:szCs w:val="24"/>
        </w:rPr>
        <w:t xml:space="preserve">, lo anterior conforme a la siguiente: </w:t>
      </w:r>
    </w:p>
    <w:p w14:paraId="0E9D8A85" w14:textId="77777777" w:rsidR="00762173" w:rsidRDefault="00762173"/>
    <w:p w14:paraId="4CD7CA03" w14:textId="77777777" w:rsidR="00762173" w:rsidRDefault="00762173">
      <w:pPr>
        <w:spacing w:line="360" w:lineRule="auto"/>
        <w:jc w:val="both"/>
        <w:rPr>
          <w:rFonts w:ascii="Century Gothic" w:eastAsia="Century Gothic" w:hAnsi="Century Gothic" w:cs="Century Gothic"/>
          <w:sz w:val="24"/>
          <w:szCs w:val="24"/>
        </w:rPr>
      </w:pPr>
    </w:p>
    <w:p w14:paraId="0D6DA9B0" w14:textId="77777777" w:rsidR="00762173" w:rsidRDefault="004C2C38">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43137B30" w14:textId="77777777" w:rsidR="00762173" w:rsidRDefault="00762173">
      <w:pPr>
        <w:spacing w:line="360" w:lineRule="auto"/>
        <w:jc w:val="both"/>
        <w:rPr>
          <w:rFonts w:ascii="Century Gothic" w:eastAsia="Century Gothic" w:hAnsi="Century Gothic" w:cs="Century Gothic"/>
          <w:b/>
          <w:sz w:val="24"/>
          <w:szCs w:val="24"/>
        </w:rPr>
      </w:pPr>
    </w:p>
    <w:p w14:paraId="5D69A765" w14:textId="77777777" w:rsidR="00762173" w:rsidRDefault="00762173">
      <w:pPr>
        <w:spacing w:line="360" w:lineRule="auto"/>
        <w:jc w:val="both"/>
        <w:rPr>
          <w:rFonts w:ascii="Century Gothic" w:eastAsia="Century Gothic" w:hAnsi="Century Gothic" w:cs="Century Gothic"/>
          <w:b/>
          <w:sz w:val="24"/>
          <w:szCs w:val="24"/>
        </w:rPr>
      </w:pPr>
    </w:p>
    <w:p w14:paraId="3947A80E"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apellidos son el distintivo antroponím</w:t>
      </w:r>
      <w:r>
        <w:rPr>
          <w:rFonts w:ascii="Century Gothic" w:eastAsia="Century Gothic" w:hAnsi="Century Gothic" w:cs="Century Gothic"/>
          <w:sz w:val="24"/>
          <w:szCs w:val="24"/>
        </w:rPr>
        <w:t>ico en el nombre de cada persona, situado después del nombre de la pila, el cual es utilizado para dotar de identidad a las personas, haciendo efectivos los derechos de familia, nombre y actas de nacimiento.</w:t>
      </w:r>
    </w:p>
    <w:p w14:paraId="0D06FD2D" w14:textId="77777777" w:rsidR="00762173" w:rsidRDefault="00762173">
      <w:pPr>
        <w:spacing w:line="360" w:lineRule="auto"/>
        <w:jc w:val="both"/>
        <w:rPr>
          <w:rFonts w:ascii="Century Gothic" w:eastAsia="Century Gothic" w:hAnsi="Century Gothic" w:cs="Century Gothic"/>
          <w:sz w:val="24"/>
          <w:szCs w:val="24"/>
        </w:rPr>
      </w:pPr>
    </w:p>
    <w:p w14:paraId="602B63E3"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Históricamente el apellido del varón es el situ</w:t>
      </w:r>
      <w:r>
        <w:rPr>
          <w:rFonts w:ascii="Century Gothic" w:eastAsia="Century Gothic" w:hAnsi="Century Gothic" w:cs="Century Gothic"/>
          <w:sz w:val="24"/>
          <w:szCs w:val="24"/>
        </w:rPr>
        <w:t xml:space="preserve">ado al inicio, esto en virtud de que las familias de la antigüedad solían ser representadas por hombres, al considerarse superiores en la estructura familiar ya que anteriormente se le consideraba el proveedor y la figura de máxima autoridad en el hogar, </w:t>
      </w:r>
      <w:r>
        <w:rPr>
          <w:rFonts w:ascii="Century Gothic" w:eastAsia="Century Gothic" w:hAnsi="Century Gothic" w:cs="Century Gothic"/>
          <w:sz w:val="24"/>
          <w:szCs w:val="24"/>
        </w:rPr>
        <w:lastRenderedPageBreak/>
        <w:t>g</w:t>
      </w:r>
      <w:r>
        <w:rPr>
          <w:rFonts w:ascii="Century Gothic" w:eastAsia="Century Gothic" w:hAnsi="Century Gothic" w:cs="Century Gothic"/>
          <w:sz w:val="24"/>
          <w:szCs w:val="24"/>
        </w:rPr>
        <w:t>enerando una especie de alabanza al varón por el simple hecho de serlo, conceptos que en la actualidad perdieron su efecto reglamentario ya que las mujeres podemos considerarnos iguales en derechos y toma de decisiones de la vida pública y privada, gracias</w:t>
      </w:r>
      <w:r>
        <w:rPr>
          <w:rFonts w:ascii="Century Gothic" w:eastAsia="Century Gothic" w:hAnsi="Century Gothic" w:cs="Century Gothic"/>
          <w:sz w:val="24"/>
          <w:szCs w:val="24"/>
        </w:rPr>
        <w:t xml:space="preserve"> a múltiples luchas como el voto de la mujer, así como los Derechos Electorales para nosotras que fue aprobado en el año de 1948 después de una polémica iniciativa promovida por el presidente en turno Miguel Alemán.</w:t>
      </w:r>
    </w:p>
    <w:p w14:paraId="7BA3F2AC" w14:textId="77777777" w:rsidR="00762173" w:rsidRDefault="00762173">
      <w:pPr>
        <w:spacing w:line="360" w:lineRule="auto"/>
        <w:jc w:val="both"/>
        <w:rPr>
          <w:rFonts w:ascii="Century Gothic" w:eastAsia="Century Gothic" w:hAnsi="Century Gothic" w:cs="Century Gothic"/>
          <w:sz w:val="24"/>
          <w:szCs w:val="24"/>
        </w:rPr>
      </w:pPr>
    </w:p>
    <w:p w14:paraId="5BA1B050"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ello logramos existir muje</w:t>
      </w:r>
      <w:r>
        <w:rPr>
          <w:rFonts w:ascii="Century Gothic" w:eastAsia="Century Gothic" w:hAnsi="Century Gothic" w:cs="Century Gothic"/>
          <w:sz w:val="24"/>
          <w:szCs w:val="24"/>
        </w:rPr>
        <w:t>res que podemos hacer uso de diversos mecanismos para la defensa y avance social en materia de género, tal como es en este caso el proceso legislativo.</w:t>
      </w:r>
    </w:p>
    <w:p w14:paraId="64F5C267" w14:textId="77777777" w:rsidR="00762173" w:rsidRDefault="00762173">
      <w:pPr>
        <w:spacing w:line="360" w:lineRule="auto"/>
        <w:jc w:val="both"/>
        <w:rPr>
          <w:rFonts w:ascii="Century Gothic" w:eastAsia="Century Gothic" w:hAnsi="Century Gothic" w:cs="Century Gothic"/>
          <w:sz w:val="24"/>
          <w:szCs w:val="24"/>
        </w:rPr>
      </w:pPr>
    </w:p>
    <w:p w14:paraId="432FE559" w14:textId="77777777" w:rsidR="00762173" w:rsidRDefault="00762173">
      <w:pPr>
        <w:spacing w:line="360" w:lineRule="auto"/>
        <w:jc w:val="both"/>
        <w:rPr>
          <w:rFonts w:ascii="Century Gothic" w:eastAsia="Century Gothic" w:hAnsi="Century Gothic" w:cs="Century Gothic"/>
          <w:sz w:val="24"/>
          <w:szCs w:val="24"/>
        </w:rPr>
      </w:pPr>
    </w:p>
    <w:p w14:paraId="1F7E71CF"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Muchas fueron y son las luchas que históricamente nos han dado paso a la igualdad, pero en este caso d</w:t>
      </w:r>
      <w:r>
        <w:rPr>
          <w:rFonts w:ascii="Century Gothic" w:eastAsia="Century Gothic" w:hAnsi="Century Gothic" w:cs="Century Gothic"/>
          <w:sz w:val="24"/>
          <w:szCs w:val="24"/>
        </w:rPr>
        <w:t>ebemos mencionar a la Suprema Corte de Justicia de la Nación que en el año de 2019 tomó diversos criterios para poder mencionar que cualquier artículo perteneciente a normas generales o cualquier otra que menciona que el apellido del padre se debe encontra</w:t>
      </w:r>
      <w:r>
        <w:rPr>
          <w:rFonts w:ascii="Century Gothic" w:eastAsia="Century Gothic" w:hAnsi="Century Gothic" w:cs="Century Gothic"/>
          <w:sz w:val="24"/>
          <w:szCs w:val="24"/>
        </w:rPr>
        <w:t>r situado primero que el de la madre, es inconstitucional, esto bajo el argumento de no cumplir con preceptos establecidos por nuestra Carta Magna y los tratados internacionales de los que el Estado Mexicano es parte.</w:t>
      </w:r>
    </w:p>
    <w:p w14:paraId="50E0C9F2" w14:textId="77777777" w:rsidR="00762173" w:rsidRDefault="00762173">
      <w:pPr>
        <w:spacing w:line="360" w:lineRule="auto"/>
        <w:jc w:val="both"/>
        <w:rPr>
          <w:rFonts w:ascii="Century Gothic" w:eastAsia="Century Gothic" w:hAnsi="Century Gothic" w:cs="Century Gothic"/>
          <w:sz w:val="24"/>
          <w:szCs w:val="24"/>
        </w:rPr>
      </w:pPr>
    </w:p>
    <w:p w14:paraId="5AB02826"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antes mencionado se r</w:t>
      </w:r>
      <w:r>
        <w:rPr>
          <w:rFonts w:ascii="Century Gothic" w:eastAsia="Century Gothic" w:hAnsi="Century Gothic" w:cs="Century Gothic"/>
          <w:sz w:val="24"/>
          <w:szCs w:val="24"/>
        </w:rPr>
        <w:t xml:space="preserve">ealizaron Reformas al Código Civil Federal en años anteriores, donde se establece que los apellidos serán impuestos en el orden que ambos progenitores acuerden ante el Registro Civil, que derecho cabe resaltar que ya se utilizaba en los Estado de Quintana </w:t>
      </w:r>
      <w:r>
        <w:rPr>
          <w:rFonts w:ascii="Century Gothic" w:eastAsia="Century Gothic" w:hAnsi="Century Gothic" w:cs="Century Gothic"/>
          <w:sz w:val="24"/>
          <w:szCs w:val="24"/>
        </w:rPr>
        <w:t>Roo, Yucatán y la Ciudad de México, por tanto en dichas Entidades de la República, el apellido paterno ya no es el que obligatoriamente tenga prevalencia, ahora puede ser el materno el que siga y otorgue identidad a las y los hijos.</w:t>
      </w:r>
    </w:p>
    <w:p w14:paraId="33010E7A" w14:textId="77777777" w:rsidR="00762173" w:rsidRDefault="00762173">
      <w:pPr>
        <w:spacing w:line="360" w:lineRule="auto"/>
        <w:jc w:val="both"/>
        <w:rPr>
          <w:rFonts w:ascii="Century Gothic" w:eastAsia="Century Gothic" w:hAnsi="Century Gothic" w:cs="Century Gothic"/>
          <w:sz w:val="24"/>
          <w:szCs w:val="24"/>
        </w:rPr>
      </w:pPr>
    </w:p>
    <w:p w14:paraId="4A951B89"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Conjunto a ello, en el</w:t>
      </w:r>
      <w:r>
        <w:rPr>
          <w:rFonts w:ascii="Century Gothic" w:eastAsia="Century Gothic" w:hAnsi="Century Gothic" w:cs="Century Gothic"/>
          <w:sz w:val="24"/>
          <w:szCs w:val="24"/>
        </w:rPr>
        <w:t xml:space="preserve"> censo poblacional del año 2020 emitido por el Instituto Nacional de Estadística y Geografía, se hace mención que en 33 de cada 100 hogares la mujer es percibida como la jefa de familia o vivienda, misma que representa 11 millones 474 mil 983 hogares, por </w:t>
      </w:r>
      <w:r>
        <w:rPr>
          <w:rFonts w:ascii="Century Gothic" w:eastAsia="Century Gothic" w:hAnsi="Century Gothic" w:cs="Century Gothic"/>
          <w:sz w:val="24"/>
          <w:szCs w:val="24"/>
        </w:rPr>
        <w:t>ello este tipo de acciones no ayudan a darle conocimiento a las mujeres y poder apreciar su labor tan importante en la sociedad, sosteniendo familias y comunidades enteras.</w:t>
      </w:r>
    </w:p>
    <w:p w14:paraId="554E3FF8" w14:textId="77777777" w:rsidR="00762173" w:rsidRDefault="00762173">
      <w:pPr>
        <w:spacing w:line="360" w:lineRule="auto"/>
        <w:jc w:val="both"/>
        <w:rPr>
          <w:rFonts w:ascii="Century Gothic" w:eastAsia="Century Gothic" w:hAnsi="Century Gothic" w:cs="Century Gothic"/>
          <w:sz w:val="24"/>
          <w:szCs w:val="24"/>
        </w:rPr>
      </w:pPr>
    </w:p>
    <w:p w14:paraId="35F8E7D5"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 través de Reformas como la expuesta en el presente escrito plantean dar pleno cu</w:t>
      </w:r>
      <w:r>
        <w:rPr>
          <w:rFonts w:ascii="Century Gothic" w:eastAsia="Century Gothic" w:hAnsi="Century Gothic" w:cs="Century Gothic"/>
          <w:sz w:val="24"/>
          <w:szCs w:val="24"/>
        </w:rPr>
        <w:t>mplimiento a al Derecho a la Igualdad de Género, consagrado en el artículo 4 de la Constitución Mexicana, así como la Convención para eliminar la Violencia en Contra de la Mujer, así como la Convención Americana sobre los Derechos Humanos, teniendo como ob</w:t>
      </w:r>
      <w:r>
        <w:rPr>
          <w:rFonts w:ascii="Century Gothic" w:eastAsia="Century Gothic" w:hAnsi="Century Gothic" w:cs="Century Gothic"/>
          <w:sz w:val="24"/>
          <w:szCs w:val="24"/>
        </w:rPr>
        <w:t>jetivo el reafirmar el valor de la mujer respecto del hombre, pudiendo intervenir en decisiones de la vida pública, privada y familiar, derecho que históricamente nos fue negado y que gracias a políticas públicas como esta, hoy en día podemos estar cada ve</w:t>
      </w:r>
      <w:r>
        <w:rPr>
          <w:rFonts w:ascii="Century Gothic" w:eastAsia="Century Gothic" w:hAnsi="Century Gothic" w:cs="Century Gothic"/>
          <w:sz w:val="24"/>
          <w:szCs w:val="24"/>
        </w:rPr>
        <w:t>z más cerca de erradicar la brecha de género.</w:t>
      </w:r>
    </w:p>
    <w:p w14:paraId="28E2AEF2"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w:t>
      </w:r>
    </w:p>
    <w:p w14:paraId="1B5E4837" w14:textId="77777777" w:rsidR="00762173" w:rsidRDefault="00762173">
      <w:pPr>
        <w:spacing w:line="360" w:lineRule="auto"/>
        <w:jc w:val="both"/>
        <w:rPr>
          <w:rFonts w:ascii="Century Gothic" w:eastAsia="Century Gothic" w:hAnsi="Century Gothic" w:cs="Century Gothic"/>
          <w:sz w:val="24"/>
          <w:szCs w:val="24"/>
        </w:rPr>
      </w:pPr>
    </w:p>
    <w:p w14:paraId="0B0538B4"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Pr>
          <w:rFonts w:ascii="Century Gothic" w:eastAsia="Century Gothic" w:hAnsi="Century Gothic" w:cs="Century Gothic"/>
          <w:sz w:val="24"/>
          <w:szCs w:val="24"/>
        </w:rPr>
        <w:t>. La Sexagésima Séptima Legislatura del H. Congreso del Estado de Chihuahua, Reforma el artículo 60 del Código civil del Estado de Chihuahua, para quedar redactado de la s</w:t>
      </w:r>
      <w:r>
        <w:rPr>
          <w:rFonts w:ascii="Century Gothic" w:eastAsia="Century Gothic" w:hAnsi="Century Gothic" w:cs="Century Gothic"/>
          <w:sz w:val="24"/>
          <w:szCs w:val="24"/>
        </w:rPr>
        <w:t>iguiente manera:</w:t>
      </w:r>
    </w:p>
    <w:p w14:paraId="625D193F" w14:textId="77777777" w:rsidR="00762173" w:rsidRDefault="00762173">
      <w:pPr>
        <w:spacing w:line="360" w:lineRule="auto"/>
        <w:jc w:val="both"/>
        <w:rPr>
          <w:rFonts w:ascii="Century Gothic" w:eastAsia="Century Gothic" w:hAnsi="Century Gothic" w:cs="Century Gothic"/>
          <w:sz w:val="24"/>
          <w:szCs w:val="24"/>
        </w:rPr>
      </w:pPr>
    </w:p>
    <w:p w14:paraId="289E6725" w14:textId="77777777" w:rsidR="00762173" w:rsidRDefault="00762173">
      <w:pPr>
        <w:spacing w:line="360" w:lineRule="auto"/>
        <w:rPr>
          <w:rFonts w:ascii="Century Gothic" w:eastAsia="Century Gothic" w:hAnsi="Century Gothic" w:cs="Century Gothic"/>
          <w:sz w:val="24"/>
          <w:szCs w:val="24"/>
        </w:rPr>
      </w:pPr>
    </w:p>
    <w:p w14:paraId="5FE7C770" w14:textId="77777777" w:rsidR="00762173" w:rsidRDefault="004C2C38">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CÓDIGO CIVIL DEL ESTADO DE CHIHUAHUA.</w:t>
      </w:r>
    </w:p>
    <w:p w14:paraId="59DAFB16" w14:textId="77777777" w:rsidR="00762173" w:rsidRDefault="00762173">
      <w:pPr>
        <w:spacing w:line="360" w:lineRule="auto"/>
        <w:jc w:val="center"/>
        <w:rPr>
          <w:rFonts w:ascii="Century Gothic" w:eastAsia="Century Gothic" w:hAnsi="Century Gothic" w:cs="Century Gothic"/>
          <w:b/>
          <w:sz w:val="24"/>
          <w:szCs w:val="24"/>
        </w:rPr>
      </w:pPr>
    </w:p>
    <w:p w14:paraId="40DF6E4F" w14:textId="77777777" w:rsidR="00762173" w:rsidRDefault="004C2C38">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TÍTULO CUARTO DEL REGISTRO CIVIL</w:t>
      </w:r>
    </w:p>
    <w:p w14:paraId="56979514" w14:textId="77777777" w:rsidR="00762173" w:rsidRDefault="00762173">
      <w:pPr>
        <w:spacing w:line="360" w:lineRule="auto"/>
        <w:jc w:val="center"/>
        <w:rPr>
          <w:rFonts w:ascii="Century Gothic" w:eastAsia="Century Gothic" w:hAnsi="Century Gothic" w:cs="Century Gothic"/>
          <w:b/>
          <w:sz w:val="24"/>
          <w:szCs w:val="24"/>
        </w:rPr>
      </w:pPr>
    </w:p>
    <w:p w14:paraId="103F0BF1" w14:textId="77777777" w:rsidR="00762173" w:rsidRDefault="004C2C38">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CAPÍTULO II DE LAS ACTAS DE NACIMIENTO</w:t>
      </w:r>
    </w:p>
    <w:p w14:paraId="5DB9D0B3" w14:textId="77777777" w:rsidR="00762173" w:rsidRDefault="00762173">
      <w:pPr>
        <w:spacing w:line="360" w:lineRule="auto"/>
        <w:jc w:val="center"/>
        <w:rPr>
          <w:rFonts w:ascii="Century Gothic" w:eastAsia="Century Gothic" w:hAnsi="Century Gothic" w:cs="Century Gothic"/>
          <w:b/>
          <w:sz w:val="24"/>
          <w:szCs w:val="24"/>
        </w:rPr>
      </w:pPr>
    </w:p>
    <w:p w14:paraId="3C884D0D" w14:textId="77777777" w:rsidR="00762173" w:rsidRDefault="00762173">
      <w:pPr>
        <w:spacing w:line="360" w:lineRule="auto"/>
        <w:jc w:val="both"/>
        <w:rPr>
          <w:rFonts w:ascii="Century Gothic" w:eastAsia="Century Gothic" w:hAnsi="Century Gothic" w:cs="Century Gothic"/>
          <w:b/>
          <w:sz w:val="24"/>
          <w:szCs w:val="24"/>
        </w:rPr>
      </w:pPr>
    </w:p>
    <w:p w14:paraId="5400C663"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ARTÍCULO 60. El nombre está constituido por el nombre propio, primero y </w:t>
      </w:r>
      <w:proofErr w:type="gramStart"/>
      <w:r>
        <w:rPr>
          <w:rFonts w:ascii="Century Gothic" w:eastAsia="Century Gothic" w:hAnsi="Century Gothic" w:cs="Century Gothic"/>
          <w:sz w:val="24"/>
          <w:szCs w:val="24"/>
        </w:rPr>
        <w:t>segundo apellidos</w:t>
      </w:r>
      <w:proofErr w:type="gramEnd"/>
      <w:r>
        <w:rPr>
          <w:rFonts w:ascii="Century Gothic" w:eastAsia="Century Gothic" w:hAnsi="Century Gothic" w:cs="Century Gothic"/>
          <w:sz w:val="24"/>
          <w:szCs w:val="24"/>
        </w:rPr>
        <w:t xml:space="preserve">. </w:t>
      </w:r>
    </w:p>
    <w:p w14:paraId="3CC79590" w14:textId="77777777" w:rsidR="00762173" w:rsidRDefault="00762173">
      <w:pPr>
        <w:spacing w:line="360" w:lineRule="auto"/>
        <w:jc w:val="both"/>
        <w:rPr>
          <w:rFonts w:ascii="Century Gothic" w:eastAsia="Century Gothic" w:hAnsi="Century Gothic" w:cs="Century Gothic"/>
          <w:sz w:val="24"/>
          <w:szCs w:val="24"/>
        </w:rPr>
      </w:pPr>
    </w:p>
    <w:p w14:paraId="4FC187BC"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la asignación del nombre propio, se observará lo siguiente: </w:t>
      </w:r>
    </w:p>
    <w:p w14:paraId="4E8109A4" w14:textId="77777777" w:rsidR="00762173" w:rsidRDefault="00762173">
      <w:pPr>
        <w:spacing w:line="360" w:lineRule="auto"/>
        <w:jc w:val="both"/>
        <w:rPr>
          <w:rFonts w:ascii="Century Gothic" w:eastAsia="Century Gothic" w:hAnsi="Century Gothic" w:cs="Century Gothic"/>
          <w:sz w:val="24"/>
          <w:szCs w:val="24"/>
        </w:rPr>
      </w:pPr>
    </w:p>
    <w:p w14:paraId="475BCA52"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 No podrá integrarse por más de dos sustantivos; </w:t>
      </w:r>
    </w:p>
    <w:p w14:paraId="276D7B4A" w14:textId="77777777" w:rsidR="00762173" w:rsidRDefault="00762173">
      <w:pPr>
        <w:spacing w:line="360" w:lineRule="auto"/>
        <w:jc w:val="both"/>
        <w:rPr>
          <w:rFonts w:ascii="Century Gothic" w:eastAsia="Century Gothic" w:hAnsi="Century Gothic" w:cs="Century Gothic"/>
          <w:sz w:val="24"/>
          <w:szCs w:val="24"/>
        </w:rPr>
      </w:pPr>
    </w:p>
    <w:p w14:paraId="2E1F9502"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II. No se constituirá con palabras denigran</w:t>
      </w:r>
      <w:r>
        <w:rPr>
          <w:rFonts w:ascii="Century Gothic" w:eastAsia="Century Gothic" w:hAnsi="Century Gothic" w:cs="Century Gothic"/>
          <w:sz w:val="24"/>
          <w:szCs w:val="24"/>
        </w:rPr>
        <w:t xml:space="preserve">tes de la personalidad; </w:t>
      </w:r>
    </w:p>
    <w:p w14:paraId="0CA44060" w14:textId="77777777" w:rsidR="00762173" w:rsidRDefault="00762173">
      <w:pPr>
        <w:spacing w:line="360" w:lineRule="auto"/>
        <w:jc w:val="both"/>
        <w:rPr>
          <w:rFonts w:ascii="Century Gothic" w:eastAsia="Century Gothic" w:hAnsi="Century Gothic" w:cs="Century Gothic"/>
          <w:sz w:val="24"/>
          <w:szCs w:val="24"/>
        </w:rPr>
      </w:pPr>
    </w:p>
    <w:p w14:paraId="144663C4"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III. No se emplearán apodos; y </w:t>
      </w:r>
    </w:p>
    <w:p w14:paraId="6B6E1537" w14:textId="77777777" w:rsidR="00762173" w:rsidRDefault="00762173">
      <w:pPr>
        <w:spacing w:line="360" w:lineRule="auto"/>
        <w:jc w:val="both"/>
        <w:rPr>
          <w:rFonts w:ascii="Century Gothic" w:eastAsia="Century Gothic" w:hAnsi="Century Gothic" w:cs="Century Gothic"/>
          <w:sz w:val="24"/>
          <w:szCs w:val="24"/>
        </w:rPr>
      </w:pPr>
    </w:p>
    <w:p w14:paraId="7930D5F7"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IV. No podrá constituirse con números. </w:t>
      </w:r>
    </w:p>
    <w:p w14:paraId="618D4FA7" w14:textId="77777777" w:rsidR="00762173" w:rsidRDefault="00762173">
      <w:pPr>
        <w:spacing w:line="360" w:lineRule="auto"/>
        <w:jc w:val="both"/>
        <w:rPr>
          <w:rFonts w:ascii="Century Gothic" w:eastAsia="Century Gothic" w:hAnsi="Century Gothic" w:cs="Century Gothic"/>
          <w:sz w:val="24"/>
          <w:szCs w:val="24"/>
        </w:rPr>
      </w:pPr>
    </w:p>
    <w:p w14:paraId="05359B4E" w14:textId="77777777" w:rsidR="00762173" w:rsidRDefault="004C2C38">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Los apellidos corresponderán al primero del padre y el primero de la madre, en el orden que ellos así lo establezcan ante el Registro Civil.</w:t>
      </w:r>
    </w:p>
    <w:p w14:paraId="7493A672" w14:textId="77777777" w:rsidR="00762173" w:rsidRDefault="00762173">
      <w:pPr>
        <w:spacing w:line="360" w:lineRule="auto"/>
        <w:jc w:val="both"/>
        <w:rPr>
          <w:rFonts w:ascii="Century Gothic" w:eastAsia="Century Gothic" w:hAnsi="Century Gothic" w:cs="Century Gothic"/>
          <w:b/>
          <w:sz w:val="24"/>
          <w:szCs w:val="24"/>
        </w:rPr>
      </w:pPr>
    </w:p>
    <w:p w14:paraId="5F655C92" w14:textId="77777777" w:rsidR="00762173" w:rsidRDefault="004C2C38">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SEGUNDO. </w:t>
      </w:r>
      <w:r>
        <w:rPr>
          <w:rFonts w:ascii="Century Gothic" w:eastAsia="Century Gothic" w:hAnsi="Century Gothic" w:cs="Century Gothic"/>
          <w:sz w:val="24"/>
          <w:szCs w:val="24"/>
        </w:rPr>
        <w:t>El pr</w:t>
      </w:r>
      <w:r>
        <w:rPr>
          <w:rFonts w:ascii="Century Gothic" w:eastAsia="Century Gothic" w:hAnsi="Century Gothic" w:cs="Century Gothic"/>
          <w:sz w:val="24"/>
          <w:szCs w:val="24"/>
        </w:rPr>
        <w:t>esente Decreto entrará en vigor al día siguiente de su publicación en el Diario Oficial del Estado.</w:t>
      </w:r>
    </w:p>
    <w:p w14:paraId="4E9D424D" w14:textId="77777777" w:rsidR="00762173" w:rsidRDefault="00762173">
      <w:pPr>
        <w:spacing w:line="360" w:lineRule="auto"/>
        <w:jc w:val="both"/>
        <w:rPr>
          <w:rFonts w:ascii="Century Gothic" w:eastAsia="Century Gothic" w:hAnsi="Century Gothic" w:cs="Century Gothic"/>
          <w:b/>
          <w:sz w:val="24"/>
          <w:szCs w:val="24"/>
        </w:rPr>
      </w:pPr>
    </w:p>
    <w:p w14:paraId="02056815" w14:textId="77777777" w:rsidR="00762173" w:rsidRDefault="004C2C38">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 A D O en el salón de sesiones del poder legislativo a los dieciséis días del mes de mayo del 2023.</w:t>
      </w:r>
    </w:p>
    <w:p w14:paraId="24769485" w14:textId="77777777" w:rsidR="00762173" w:rsidRDefault="00762173">
      <w:pPr>
        <w:spacing w:line="360" w:lineRule="auto"/>
        <w:jc w:val="both"/>
        <w:rPr>
          <w:rFonts w:ascii="Century Gothic" w:eastAsia="Century Gothic" w:hAnsi="Century Gothic" w:cs="Century Gothic"/>
          <w:b/>
          <w:sz w:val="24"/>
          <w:szCs w:val="24"/>
        </w:rPr>
      </w:pPr>
    </w:p>
    <w:p w14:paraId="742C7035" w14:textId="77777777" w:rsidR="00762173" w:rsidRDefault="004C2C38">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ES CUANTO.</w:t>
      </w:r>
    </w:p>
    <w:p w14:paraId="67D99371" w14:textId="77777777" w:rsidR="00762173" w:rsidRDefault="00762173">
      <w:pPr>
        <w:spacing w:line="360" w:lineRule="auto"/>
        <w:jc w:val="both"/>
        <w:rPr>
          <w:rFonts w:ascii="Century Gothic" w:eastAsia="Century Gothic" w:hAnsi="Century Gothic" w:cs="Century Gothic"/>
          <w:b/>
          <w:sz w:val="24"/>
          <w:szCs w:val="24"/>
        </w:rPr>
      </w:pPr>
    </w:p>
    <w:p w14:paraId="20FA4F5D" w14:textId="77777777" w:rsidR="00762173" w:rsidRDefault="004C2C38">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DC3592F" w14:textId="77777777" w:rsidR="00762173" w:rsidRDefault="004C2C38">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0A4134F9" w14:textId="77777777" w:rsidR="00762173" w:rsidRDefault="004C2C3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99E038" w14:textId="77777777" w:rsidR="00762173" w:rsidRDefault="004C2C3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9"/>
        <w:gridCol w:w="4766"/>
      </w:tblGrid>
      <w:tr w:rsidR="00762173" w14:paraId="2AAA4D63" w14:textId="77777777">
        <w:trPr>
          <w:trHeight w:val="470"/>
        </w:trPr>
        <w:tc>
          <w:tcPr>
            <w:tcW w:w="4259" w:type="dxa"/>
            <w:tcBorders>
              <w:top w:val="nil"/>
              <w:left w:val="nil"/>
              <w:bottom w:val="nil"/>
              <w:right w:val="nil"/>
            </w:tcBorders>
            <w:tcMar>
              <w:top w:w="100" w:type="dxa"/>
              <w:left w:w="100" w:type="dxa"/>
              <w:bottom w:w="100" w:type="dxa"/>
              <w:right w:w="100" w:type="dxa"/>
            </w:tcMar>
          </w:tcPr>
          <w:p w14:paraId="643B7AD1"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DIP. ILSE AMÉRICA GARCÍA SOTO.</w:t>
            </w:r>
          </w:p>
        </w:tc>
        <w:tc>
          <w:tcPr>
            <w:tcW w:w="4765" w:type="dxa"/>
            <w:tcBorders>
              <w:top w:val="nil"/>
              <w:left w:val="nil"/>
              <w:bottom w:val="nil"/>
              <w:right w:val="nil"/>
            </w:tcBorders>
            <w:tcMar>
              <w:top w:w="100" w:type="dxa"/>
              <w:left w:w="100" w:type="dxa"/>
              <w:bottom w:w="100" w:type="dxa"/>
              <w:right w:w="100" w:type="dxa"/>
            </w:tcMar>
          </w:tcPr>
          <w:p w14:paraId="58E37FCA"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CUAUHTÉMOC ESTRADA SOTELO.</w:t>
            </w:r>
          </w:p>
        </w:tc>
      </w:tr>
      <w:tr w:rsidR="00762173" w14:paraId="05E14227" w14:textId="77777777">
        <w:trPr>
          <w:trHeight w:val="2030"/>
        </w:trPr>
        <w:tc>
          <w:tcPr>
            <w:tcW w:w="4259" w:type="dxa"/>
            <w:tcBorders>
              <w:top w:val="nil"/>
              <w:left w:val="nil"/>
              <w:bottom w:val="nil"/>
              <w:right w:val="nil"/>
            </w:tcBorders>
            <w:tcMar>
              <w:top w:w="100" w:type="dxa"/>
              <w:left w:w="100" w:type="dxa"/>
              <w:bottom w:w="100" w:type="dxa"/>
              <w:right w:w="100" w:type="dxa"/>
            </w:tcMar>
          </w:tcPr>
          <w:p w14:paraId="6267A31C"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CE94256"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5BA2BCED"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D36A837"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c>
          <w:tcPr>
            <w:tcW w:w="4765" w:type="dxa"/>
            <w:tcBorders>
              <w:top w:val="nil"/>
              <w:left w:val="nil"/>
              <w:bottom w:val="nil"/>
              <w:right w:val="nil"/>
            </w:tcBorders>
            <w:tcMar>
              <w:top w:w="100" w:type="dxa"/>
              <w:left w:w="100" w:type="dxa"/>
              <w:bottom w:w="100" w:type="dxa"/>
              <w:right w:w="100" w:type="dxa"/>
            </w:tcMar>
          </w:tcPr>
          <w:p w14:paraId="04E010D6"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22F2A6D4"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51F6D8A0"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tc>
      </w:tr>
      <w:tr w:rsidR="00762173" w14:paraId="7D5724BD" w14:textId="77777777">
        <w:trPr>
          <w:trHeight w:val="1790"/>
        </w:trPr>
        <w:tc>
          <w:tcPr>
            <w:tcW w:w="4259" w:type="dxa"/>
            <w:tcBorders>
              <w:top w:val="nil"/>
              <w:left w:val="nil"/>
              <w:bottom w:val="nil"/>
              <w:right w:val="nil"/>
            </w:tcBorders>
            <w:tcMar>
              <w:top w:w="100" w:type="dxa"/>
              <w:left w:w="100" w:type="dxa"/>
              <w:bottom w:w="100" w:type="dxa"/>
              <w:right w:w="100" w:type="dxa"/>
            </w:tcMar>
          </w:tcPr>
          <w:p w14:paraId="2DB38558"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5B0F5D21"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7774A4DC"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c>
        <w:tc>
          <w:tcPr>
            <w:tcW w:w="4765" w:type="dxa"/>
            <w:tcBorders>
              <w:top w:val="nil"/>
              <w:left w:val="nil"/>
              <w:bottom w:val="nil"/>
              <w:right w:val="nil"/>
            </w:tcBorders>
            <w:tcMar>
              <w:top w:w="100" w:type="dxa"/>
              <w:left w:w="100" w:type="dxa"/>
              <w:bottom w:w="100" w:type="dxa"/>
              <w:right w:w="100" w:type="dxa"/>
            </w:tcMar>
          </w:tcPr>
          <w:p w14:paraId="50E57F03"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0F466FEF"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1C40CF23"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762173" w14:paraId="35B24BF6" w14:textId="77777777">
        <w:trPr>
          <w:trHeight w:val="1790"/>
        </w:trPr>
        <w:tc>
          <w:tcPr>
            <w:tcW w:w="4259" w:type="dxa"/>
            <w:tcBorders>
              <w:top w:val="nil"/>
              <w:left w:val="nil"/>
              <w:bottom w:val="nil"/>
              <w:right w:val="nil"/>
            </w:tcBorders>
            <w:tcMar>
              <w:top w:w="100" w:type="dxa"/>
              <w:left w:w="100" w:type="dxa"/>
              <w:bottom w:w="100" w:type="dxa"/>
              <w:right w:w="100" w:type="dxa"/>
            </w:tcMar>
          </w:tcPr>
          <w:p w14:paraId="13295B40"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349E7201"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D885C57"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ROSANA DÍAZ REYES.</w:t>
            </w:r>
          </w:p>
        </w:tc>
        <w:tc>
          <w:tcPr>
            <w:tcW w:w="4765" w:type="dxa"/>
            <w:tcBorders>
              <w:top w:val="nil"/>
              <w:left w:val="nil"/>
              <w:bottom w:val="nil"/>
              <w:right w:val="nil"/>
            </w:tcBorders>
            <w:tcMar>
              <w:top w:w="100" w:type="dxa"/>
              <w:left w:w="100" w:type="dxa"/>
              <w:bottom w:w="100" w:type="dxa"/>
              <w:right w:w="100" w:type="dxa"/>
            </w:tcMar>
          </w:tcPr>
          <w:p w14:paraId="334B567D"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6C41CDED"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385F91B"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762173" w14:paraId="2F609A8D" w14:textId="77777777">
        <w:trPr>
          <w:trHeight w:val="2810"/>
        </w:trPr>
        <w:tc>
          <w:tcPr>
            <w:tcW w:w="4259" w:type="dxa"/>
            <w:tcBorders>
              <w:top w:val="nil"/>
              <w:left w:val="nil"/>
              <w:bottom w:val="nil"/>
              <w:right w:val="nil"/>
            </w:tcBorders>
            <w:tcMar>
              <w:top w:w="100" w:type="dxa"/>
              <w:left w:w="100" w:type="dxa"/>
              <w:bottom w:w="100" w:type="dxa"/>
              <w:right w:w="100" w:type="dxa"/>
            </w:tcMar>
          </w:tcPr>
          <w:p w14:paraId="1418FD54"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br/>
            </w:r>
            <w:r>
              <w:rPr>
                <w:rFonts w:ascii="Century Gothic" w:eastAsia="Century Gothic" w:hAnsi="Century Gothic" w:cs="Century Gothic"/>
                <w:b/>
                <w:sz w:val="24"/>
                <w:szCs w:val="24"/>
              </w:rPr>
              <w:br/>
            </w:r>
          </w:p>
          <w:p w14:paraId="1DBB34A4"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1DF491A"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p w14:paraId="5E0435E6"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62948F05"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tc>
        <w:tc>
          <w:tcPr>
            <w:tcW w:w="4765" w:type="dxa"/>
            <w:tcBorders>
              <w:top w:val="nil"/>
              <w:left w:val="nil"/>
              <w:bottom w:val="nil"/>
              <w:right w:val="nil"/>
            </w:tcBorders>
            <w:tcMar>
              <w:top w:w="100" w:type="dxa"/>
              <w:left w:w="100" w:type="dxa"/>
              <w:bottom w:w="100" w:type="dxa"/>
              <w:right w:w="100" w:type="dxa"/>
            </w:tcMar>
          </w:tcPr>
          <w:p w14:paraId="783FA42E"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br/>
            </w:r>
            <w:r>
              <w:rPr>
                <w:rFonts w:ascii="Century Gothic" w:eastAsia="Century Gothic" w:hAnsi="Century Gothic" w:cs="Century Gothic"/>
                <w:b/>
                <w:sz w:val="24"/>
                <w:szCs w:val="24"/>
              </w:rPr>
              <w:br/>
            </w:r>
          </w:p>
          <w:p w14:paraId="3C8A7218"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2647E673" w14:textId="77777777" w:rsidR="00762173" w:rsidRDefault="004C2C38">
            <w:pPr>
              <w:spacing w:before="240" w:after="240" w:line="360" w:lineRule="auto"/>
              <w:ind w:left="-3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DAVID OSCAR CASTREJÓN RIVAS.</w:t>
            </w:r>
          </w:p>
        </w:tc>
      </w:tr>
    </w:tbl>
    <w:p w14:paraId="2815E5B8" w14:textId="77777777" w:rsidR="00762173" w:rsidRDefault="00762173">
      <w:pPr>
        <w:spacing w:line="360" w:lineRule="auto"/>
        <w:jc w:val="both"/>
        <w:rPr>
          <w:rFonts w:ascii="Century Gothic" w:eastAsia="Century Gothic" w:hAnsi="Century Gothic" w:cs="Century Gothic"/>
          <w:b/>
          <w:sz w:val="24"/>
          <w:szCs w:val="24"/>
        </w:rPr>
      </w:pPr>
    </w:p>
    <w:sectPr w:rsidR="007621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73"/>
    <w:rsid w:val="004C2C38"/>
    <w:rsid w:val="00762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F526"/>
  <w15:docId w15:val="{BCEF71E1-647F-456C-8417-DF8D171E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5004</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2023-05-15T20:23:00Z</dcterms:created>
  <dcterms:modified xsi:type="dcterms:W3CDTF">2023-05-15T20:23:00Z</dcterms:modified>
</cp:coreProperties>
</file>