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DD691" w14:textId="3DD7EC17" w:rsidR="002B2769" w:rsidRPr="002D56F2" w:rsidRDefault="002B2769" w:rsidP="00C42BF6">
      <w:pPr>
        <w:spacing w:line="480" w:lineRule="auto"/>
        <w:rPr>
          <w:rFonts w:cs="Arial"/>
          <w:b/>
          <w:sz w:val="22"/>
        </w:rPr>
      </w:pPr>
      <w:bookmarkStart w:id="0" w:name="_GoBack"/>
      <w:bookmarkEnd w:id="0"/>
    </w:p>
    <w:p w14:paraId="31BCF1B0" w14:textId="77777777" w:rsidR="002D56F2" w:rsidRPr="004D250E" w:rsidRDefault="002D56F2" w:rsidP="00D348CC">
      <w:pPr>
        <w:tabs>
          <w:tab w:val="left" w:pos="5123"/>
        </w:tabs>
        <w:spacing w:line="360" w:lineRule="auto"/>
        <w:ind w:left="709"/>
        <w:rPr>
          <w:rFonts w:ascii="Century Gothic" w:eastAsia="Century Gothic" w:hAnsi="Century Gothic" w:cs="Century Gothic"/>
          <w:b/>
          <w:szCs w:val="24"/>
        </w:rPr>
      </w:pPr>
      <w:r w:rsidRPr="004D250E">
        <w:rPr>
          <w:rFonts w:ascii="Century Gothic" w:eastAsia="Century Gothic" w:hAnsi="Century Gothic" w:cs="Century Gothic"/>
          <w:b/>
          <w:szCs w:val="24"/>
        </w:rPr>
        <w:t>H. CONGRESO DEL ESTADO DE CHIHUAHUA</w:t>
      </w:r>
      <w:r w:rsidRPr="004D250E">
        <w:rPr>
          <w:rFonts w:ascii="Century Gothic" w:eastAsia="Century Gothic" w:hAnsi="Century Gothic" w:cs="Century Gothic"/>
          <w:b/>
          <w:szCs w:val="24"/>
        </w:rPr>
        <w:tab/>
        <w:t xml:space="preserve"> </w:t>
      </w:r>
    </w:p>
    <w:p w14:paraId="3890BF0F" w14:textId="77777777" w:rsidR="002D56F2" w:rsidRPr="004D250E" w:rsidRDefault="002D56F2" w:rsidP="00D348CC">
      <w:pPr>
        <w:spacing w:line="360" w:lineRule="auto"/>
        <w:ind w:left="709"/>
        <w:rPr>
          <w:rFonts w:ascii="Century Gothic" w:eastAsia="Century Gothic" w:hAnsi="Century Gothic" w:cs="Century Gothic"/>
          <w:b/>
          <w:szCs w:val="24"/>
        </w:rPr>
      </w:pPr>
      <w:r w:rsidRPr="004D250E">
        <w:rPr>
          <w:rFonts w:ascii="Century Gothic" w:eastAsia="Century Gothic" w:hAnsi="Century Gothic" w:cs="Century Gothic"/>
          <w:b/>
          <w:szCs w:val="24"/>
        </w:rPr>
        <w:t>P R E S E N T E.</w:t>
      </w:r>
    </w:p>
    <w:p w14:paraId="23FE7F4A" w14:textId="11F1632C" w:rsidR="002D56F2" w:rsidRPr="004D250E" w:rsidRDefault="002D56F2" w:rsidP="004D250E">
      <w:pPr>
        <w:spacing w:line="360" w:lineRule="auto"/>
        <w:ind w:left="708"/>
        <w:rPr>
          <w:rFonts w:ascii="Century Gothic" w:hAnsi="Century Gothic"/>
          <w:szCs w:val="24"/>
        </w:rPr>
      </w:pPr>
      <w:r w:rsidRPr="004D250E">
        <w:rPr>
          <w:rFonts w:ascii="Century Gothic" w:eastAsia="Century Gothic" w:hAnsi="Century Gothic" w:cs="Century Gothic"/>
          <w:szCs w:val="24"/>
        </w:rPr>
        <w:t xml:space="preserve">Los que suscriben, </w:t>
      </w:r>
      <w:proofErr w:type="spellStart"/>
      <w:r w:rsidRPr="004D250E">
        <w:rPr>
          <w:rFonts w:ascii="Century Gothic" w:eastAsia="Century Gothic" w:hAnsi="Century Gothic" w:cs="Century Gothic"/>
          <w:szCs w:val="24"/>
        </w:rPr>
        <w:t>Edin</w:t>
      </w:r>
      <w:proofErr w:type="spellEnd"/>
      <w:r w:rsidRPr="004D250E">
        <w:rPr>
          <w:rFonts w:ascii="Century Gothic" w:eastAsia="Century Gothic" w:hAnsi="Century Gothic" w:cs="Century Gothic"/>
          <w:szCs w:val="24"/>
        </w:rPr>
        <w:t xml:space="preserve"> Cuauhtémoc Estrada Sotelo, Óscar Daniel </w:t>
      </w:r>
      <w:proofErr w:type="spellStart"/>
      <w:r w:rsidRPr="004D250E">
        <w:rPr>
          <w:rFonts w:ascii="Century Gothic" w:eastAsia="Century Gothic" w:hAnsi="Century Gothic" w:cs="Century Gothic"/>
          <w:szCs w:val="24"/>
        </w:rPr>
        <w:t>Avitia</w:t>
      </w:r>
      <w:proofErr w:type="spellEnd"/>
      <w:r w:rsidRPr="004D250E">
        <w:rPr>
          <w:rFonts w:ascii="Century Gothic" w:eastAsia="Century Gothic" w:hAnsi="Century Gothic" w:cs="Century Gothic"/>
          <w:szCs w:val="24"/>
        </w:rPr>
        <w:t xml:space="preserve"> </w:t>
      </w:r>
      <w:proofErr w:type="spellStart"/>
      <w:r w:rsidRPr="004D250E">
        <w:rPr>
          <w:rFonts w:ascii="Century Gothic" w:eastAsia="Century Gothic" w:hAnsi="Century Gothic" w:cs="Century Gothic"/>
          <w:szCs w:val="24"/>
        </w:rPr>
        <w:t>Arellanes</w:t>
      </w:r>
      <w:proofErr w:type="spellEnd"/>
      <w:r w:rsidRPr="004D250E">
        <w:rPr>
          <w:rFonts w:ascii="Century Gothic" w:eastAsia="Century Gothic" w:hAnsi="Century Gothic" w:cs="Century Gothic"/>
          <w:szCs w:val="24"/>
        </w:rPr>
        <w:t xml:space="preserve">, Rosana Díaz Reyes, Gustavo De la Rosa </w:t>
      </w:r>
      <w:proofErr w:type="spellStart"/>
      <w:r w:rsidRPr="004D250E">
        <w:rPr>
          <w:rFonts w:ascii="Century Gothic" w:eastAsia="Century Gothic" w:hAnsi="Century Gothic" w:cs="Century Gothic"/>
          <w:szCs w:val="24"/>
        </w:rPr>
        <w:t>Hickerson</w:t>
      </w:r>
      <w:proofErr w:type="spellEnd"/>
      <w:r w:rsidRPr="004D250E">
        <w:rPr>
          <w:rFonts w:ascii="Century Gothic" w:eastAsia="Century Gothic" w:hAnsi="Century Gothic" w:cs="Century Gothic"/>
          <w:szCs w:val="24"/>
        </w:rPr>
        <w:t xml:space="preserve">, Ilse América García Soto, Magdalena Rentería Pérez, María Antonieta Pérez Reyes, Benjamín Carrera Chávez, David Óscar Castrejón Rivas y Leticia Ortega Máynez,  en nuestro carácter de Diputadas y Diputados de la Sexagésima Séptima Legislatura del Honorable Congreso del Estado de Chihuahua e integrantes del Grupo Parlamentario de Morena, </w:t>
      </w:r>
      <w:r w:rsidRPr="004D250E">
        <w:rPr>
          <w:rFonts w:ascii="Century Gothic" w:eastAsia="Century Gothic" w:hAnsi="Century Gothic" w:cs="Century Gothic"/>
          <w:bCs/>
          <w:szCs w:val="24"/>
        </w:rPr>
        <w:t>con fundamento en lo que dispone los artículos 167, fracción I, y 16</w:t>
      </w:r>
      <w:r w:rsidR="00C42BF6" w:rsidRPr="004D250E">
        <w:rPr>
          <w:rFonts w:ascii="Century Gothic" w:eastAsia="Century Gothic" w:hAnsi="Century Gothic" w:cs="Century Gothic"/>
          <w:bCs/>
          <w:szCs w:val="24"/>
        </w:rPr>
        <w:t>}</w:t>
      </w:r>
      <w:r w:rsidRPr="004D250E">
        <w:rPr>
          <w:rFonts w:ascii="Century Gothic" w:eastAsia="Century Gothic" w:hAnsi="Century Gothic" w:cs="Century Gothic"/>
          <w:bCs/>
          <w:szCs w:val="24"/>
        </w:rPr>
        <w:t xml:space="preserve">9, todos de la Ley Orgánica del Poder Legislativo del Estado de Chihuahua; artículo 2, fracción IX, del Reglamento Interior y de Prácticas Parlamentarias del Poder Legislativo; comparecemos  ante este Honorable Soberanía, a fin de presentar </w:t>
      </w:r>
      <w:r w:rsidRPr="004D250E">
        <w:rPr>
          <w:rFonts w:ascii="Century Gothic" w:eastAsia="Century Gothic" w:hAnsi="Century Gothic" w:cs="Century Gothic"/>
          <w:b/>
          <w:szCs w:val="24"/>
        </w:rPr>
        <w:t>proposición con carácter de Punto de Acuerdo a</w:t>
      </w:r>
      <w:r w:rsidR="00C42BF6" w:rsidRPr="004D250E">
        <w:rPr>
          <w:rFonts w:ascii="Century Gothic" w:hAnsi="Century Gothic" w:cstheme="minorHAnsi"/>
          <w:b/>
          <w:szCs w:val="24"/>
        </w:rPr>
        <w:t xml:space="preserve"> </w:t>
      </w:r>
      <w:r w:rsidR="00C42BF6" w:rsidRPr="004D250E">
        <w:rPr>
          <w:rFonts w:ascii="Century Gothic" w:hAnsi="Century Gothic" w:cs="Times New Roman"/>
          <w:b/>
          <w:color w:val="0F1419"/>
          <w:szCs w:val="24"/>
        </w:rPr>
        <w:t>efecto</w:t>
      </w:r>
      <w:r w:rsidR="004D250E" w:rsidRPr="004D250E">
        <w:rPr>
          <w:rFonts w:ascii="Century Gothic" w:hAnsi="Century Gothic" w:cs="Times New Roman"/>
          <w:b/>
          <w:color w:val="0F1419"/>
          <w:szCs w:val="24"/>
        </w:rPr>
        <w:t xml:space="preserve"> de </w:t>
      </w:r>
      <w:r w:rsidR="004D250E" w:rsidRPr="004D250E">
        <w:rPr>
          <w:rFonts w:ascii="Century Gothic" w:hAnsi="Century Gothic"/>
          <w:b/>
          <w:bCs/>
          <w:szCs w:val="24"/>
        </w:rPr>
        <w:t xml:space="preserve">exhortar al Gobierno del Estado para que realice un plan </w:t>
      </w:r>
      <w:r w:rsidR="00D348CC">
        <w:rPr>
          <w:rFonts w:ascii="Century Gothic" w:hAnsi="Century Gothic"/>
          <w:b/>
          <w:bCs/>
          <w:szCs w:val="24"/>
        </w:rPr>
        <w:t xml:space="preserve">de </w:t>
      </w:r>
      <w:r w:rsidR="004D250E" w:rsidRPr="004D250E">
        <w:rPr>
          <w:rFonts w:ascii="Century Gothic" w:hAnsi="Century Gothic"/>
          <w:b/>
          <w:bCs/>
          <w:szCs w:val="24"/>
        </w:rPr>
        <w:t>comunicaci</w:t>
      </w:r>
      <w:r w:rsidR="00D348CC">
        <w:rPr>
          <w:rFonts w:ascii="Century Gothic" w:hAnsi="Century Gothic"/>
          <w:b/>
          <w:bCs/>
          <w:szCs w:val="24"/>
        </w:rPr>
        <w:t>ón</w:t>
      </w:r>
      <w:r w:rsidR="004D250E" w:rsidRPr="004D250E">
        <w:rPr>
          <w:rFonts w:ascii="Century Gothic" w:hAnsi="Century Gothic"/>
          <w:b/>
          <w:bCs/>
          <w:szCs w:val="24"/>
        </w:rPr>
        <w:t xml:space="preserve"> que concentre el gasto de la </w:t>
      </w:r>
      <w:proofErr w:type="gramStart"/>
      <w:r w:rsidR="004D250E" w:rsidRPr="004D250E">
        <w:rPr>
          <w:rFonts w:ascii="Century Gothic" w:hAnsi="Century Gothic"/>
          <w:b/>
          <w:bCs/>
          <w:szCs w:val="24"/>
        </w:rPr>
        <w:t>publicidad</w:t>
      </w:r>
      <w:proofErr w:type="gramEnd"/>
      <w:r w:rsidR="004D250E" w:rsidRPr="004D250E">
        <w:rPr>
          <w:rFonts w:ascii="Century Gothic" w:hAnsi="Century Gothic"/>
          <w:b/>
          <w:bCs/>
          <w:szCs w:val="24"/>
        </w:rPr>
        <w:t xml:space="preserve"> oficial en campañas de orientación socialmente indispensable, tales como, información para prevenir y tratar las adicciones y problemas de salud; violencia intrafamiliar; machismo, preservación y tratamiento del agua y promoción de los derechos de las y los ciudadanos</w:t>
      </w:r>
      <w:r w:rsidRPr="004D250E">
        <w:rPr>
          <w:rFonts w:ascii="Century Gothic" w:hAnsi="Century Gothic" w:cstheme="minorHAnsi"/>
          <w:b/>
          <w:bCs/>
          <w:szCs w:val="24"/>
        </w:rPr>
        <w:t>. L</w:t>
      </w:r>
      <w:r w:rsidRPr="004D250E">
        <w:rPr>
          <w:rFonts w:ascii="Century Gothic" w:eastAsia="Century Gothic" w:hAnsi="Century Gothic" w:cs="Century Gothic"/>
          <w:b/>
          <w:bCs/>
          <w:szCs w:val="24"/>
        </w:rPr>
        <w:t>o anterior bajo el sustento en la siguiente</w:t>
      </w:r>
      <w:r w:rsidRPr="004D250E">
        <w:rPr>
          <w:rFonts w:ascii="Century Gothic" w:eastAsia="Century Gothic" w:hAnsi="Century Gothic" w:cs="Century Gothic"/>
          <w:bCs/>
          <w:szCs w:val="24"/>
        </w:rPr>
        <w:t>:</w:t>
      </w:r>
    </w:p>
    <w:p w14:paraId="7565EF61" w14:textId="77777777" w:rsidR="002D56F2" w:rsidRPr="004D250E" w:rsidRDefault="002D56F2" w:rsidP="00870BE1">
      <w:pPr>
        <w:spacing w:line="360" w:lineRule="auto"/>
        <w:ind w:left="426"/>
        <w:rPr>
          <w:rFonts w:ascii="Century Gothic" w:eastAsia="Century Gothic" w:hAnsi="Century Gothic" w:cs="Century Gothic"/>
          <w:szCs w:val="24"/>
        </w:rPr>
      </w:pPr>
    </w:p>
    <w:p w14:paraId="629D509A" w14:textId="77777777" w:rsidR="002D56F2" w:rsidRPr="004D250E" w:rsidRDefault="002D56F2" w:rsidP="00870BE1">
      <w:pPr>
        <w:spacing w:after="160" w:line="360" w:lineRule="auto"/>
        <w:ind w:left="709"/>
        <w:jc w:val="center"/>
        <w:rPr>
          <w:rFonts w:ascii="Century Gothic" w:eastAsia="Century Gothic" w:hAnsi="Century Gothic" w:cs="Century Gothic"/>
          <w:b/>
          <w:szCs w:val="24"/>
        </w:rPr>
      </w:pPr>
      <w:r w:rsidRPr="004D250E">
        <w:rPr>
          <w:rFonts w:ascii="Century Gothic" w:eastAsia="Century Gothic" w:hAnsi="Century Gothic" w:cs="Century Gothic"/>
          <w:b/>
          <w:szCs w:val="24"/>
        </w:rPr>
        <w:t>EXPOSICIÓN DE MOTIVOS</w:t>
      </w:r>
    </w:p>
    <w:p w14:paraId="7B310E30" w14:textId="419A8ADF"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 xml:space="preserve">Aun no se habían resuelto delitos ni sus cámaras se encontraban operando, pero la Plataforma Centinela desde el año pasado </w:t>
      </w:r>
      <w:proofErr w:type="spellStart"/>
      <w:r w:rsidRPr="008101FF">
        <w:rPr>
          <w:rFonts w:ascii="Century Gothic" w:hAnsi="Century Gothic"/>
          <w:szCs w:val="24"/>
        </w:rPr>
        <w:t>ha</w:t>
      </w:r>
      <w:proofErr w:type="spellEnd"/>
      <w:r w:rsidRPr="008101FF">
        <w:rPr>
          <w:rFonts w:ascii="Century Gothic" w:hAnsi="Century Gothic"/>
          <w:szCs w:val="24"/>
        </w:rPr>
        <w:t xml:space="preserve"> </w:t>
      </w:r>
      <w:r w:rsidRPr="008101FF">
        <w:rPr>
          <w:rFonts w:ascii="Century Gothic" w:hAnsi="Century Gothic"/>
          <w:szCs w:val="24"/>
        </w:rPr>
        <w:lastRenderedPageBreak/>
        <w:t>abarrotado la publicidad oficial en cines, espectaculares, radio, televisión y periódicos con un gasto de casi 40 millones de pesos solo en el 2022.</w:t>
      </w:r>
    </w:p>
    <w:p w14:paraId="23FA447F" w14:textId="09CCED30"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Se derrochó en contratos en contratos de propaganda para la Plataforma Centinela.</w:t>
      </w:r>
    </w:p>
    <w:p w14:paraId="532275C1" w14:textId="7777777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En respuesta a una solicitud de información pública, la Coordinación de Comunicación entregó los registros de 76 servicios contratados a agencias de publicidad, empresas de radio, televisoras, medios digitales y hasta cines que recibieron los recursos para promocionar la Plataforma Centinela.</w:t>
      </w:r>
    </w:p>
    <w:p w14:paraId="6C0C611A" w14:textId="7777777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En menos de tres meses, de mediados de octubre a diciembre de 2022, la Coordinación de Comunicación del gobierno estatal destinó 39 millones 995 mil 845.43 pesos para la campaña de promoción de la Plataforma Centinela.</w:t>
      </w:r>
    </w:p>
    <w:p w14:paraId="31F6032E" w14:textId="77777777" w:rsidR="004D250E" w:rsidRPr="008101FF" w:rsidRDefault="004D250E" w:rsidP="004D250E">
      <w:pPr>
        <w:spacing w:after="120" w:line="360" w:lineRule="auto"/>
        <w:ind w:left="708"/>
        <w:jc w:val="center"/>
        <w:rPr>
          <w:rFonts w:ascii="Century Gothic" w:hAnsi="Century Gothic"/>
          <w:szCs w:val="24"/>
        </w:rPr>
      </w:pPr>
      <w:r w:rsidRPr="008101FF">
        <w:rPr>
          <w:rFonts w:ascii="Century Gothic" w:hAnsi="Century Gothic"/>
          <w:noProof/>
          <w:szCs w:val="24"/>
          <w:lang w:val="es-MX" w:eastAsia="es-MX"/>
        </w:rPr>
        <w:lastRenderedPageBreak/>
        <w:drawing>
          <wp:inline distT="0" distB="0" distL="0" distR="0" wp14:anchorId="567F884C" wp14:editId="3EF78513">
            <wp:extent cx="3748135" cy="7515118"/>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3277" cy="7585580"/>
                    </a:xfrm>
                    <a:prstGeom prst="rect">
                      <a:avLst/>
                    </a:prstGeom>
                    <a:noFill/>
                    <a:ln>
                      <a:noFill/>
                    </a:ln>
                  </pic:spPr>
                </pic:pic>
              </a:graphicData>
            </a:graphic>
          </wp:inline>
        </w:drawing>
      </w:r>
    </w:p>
    <w:p w14:paraId="45E4C25E" w14:textId="7777777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lastRenderedPageBreak/>
        <w:t>Ese monto es mayor al presupuesto que tendrán para todo el 2023 el Instituto Chihuahuense de la Juventud (27.5 millones), la Universidad Politécnica de Chihuahua (33.3 millones), la Universidad Tecnológica Paso del Norte (39 millones), el Fondo de Atención a niñas y niños hijos de las víctimas de la lucha contra el crimen (12 millones) o el Fondo de Ayuda, Asistencia y Reparación a Víctimas del Estado de Chihuahua (10 millones de pesos).</w:t>
      </w:r>
    </w:p>
    <w:p w14:paraId="74017500" w14:textId="1AB7BBC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 xml:space="preserve">Los gastos incluyen el pago de un millón 219 mil pesos a </w:t>
      </w:r>
      <w:proofErr w:type="spellStart"/>
      <w:r w:rsidRPr="008101FF">
        <w:rPr>
          <w:rFonts w:ascii="Century Gothic" w:hAnsi="Century Gothic"/>
          <w:szCs w:val="24"/>
        </w:rPr>
        <w:t>Cinépolis</w:t>
      </w:r>
      <w:proofErr w:type="spellEnd"/>
      <w:r w:rsidRPr="008101FF">
        <w:rPr>
          <w:rFonts w:ascii="Century Gothic" w:hAnsi="Century Gothic"/>
          <w:szCs w:val="24"/>
        </w:rPr>
        <w:t xml:space="preserve"> (Exhibidora Mexicana </w:t>
      </w:r>
      <w:proofErr w:type="spellStart"/>
      <w:r w:rsidRPr="008101FF">
        <w:rPr>
          <w:rFonts w:ascii="Century Gothic" w:hAnsi="Century Gothic"/>
          <w:szCs w:val="24"/>
        </w:rPr>
        <w:t>Cinépolis</w:t>
      </w:r>
      <w:proofErr w:type="spellEnd"/>
      <w:r w:rsidRPr="008101FF">
        <w:rPr>
          <w:rFonts w:ascii="Century Gothic" w:hAnsi="Century Gothic"/>
          <w:szCs w:val="24"/>
        </w:rPr>
        <w:t>), que en sus complejos de Juárez, Chihuahua, Delicias, Cuauhtémoc, Camargo, Jiménez y Parral, proyectaron los slogans de la torre centinela</w:t>
      </w:r>
    </w:p>
    <w:p w14:paraId="76F26D91" w14:textId="7777777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El otorgamiento y distribución de publicidad oficial debe realizarse bajo criterios objetivos y de calidad que aseguren congruencia con el contenido del mensaje y la población objetivo.</w:t>
      </w:r>
    </w:p>
    <w:p w14:paraId="4D625B85" w14:textId="7777777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La producción y asignación de publicidad oficial debe regirse por los principios de transparencia, eficiencia y buen uso de los fondos públicos. Preguntémonos si la publicidad sobre la Torre Centinela es el tipo de gasto importante que necesita la ciudadanía.</w:t>
      </w:r>
    </w:p>
    <w:p w14:paraId="6CAF27B2" w14:textId="393035B5" w:rsidR="004D250E" w:rsidRPr="008101FF" w:rsidRDefault="004D250E" w:rsidP="008101FF">
      <w:pPr>
        <w:spacing w:after="120" w:line="360" w:lineRule="auto"/>
        <w:ind w:left="708"/>
        <w:rPr>
          <w:rFonts w:ascii="Century Gothic" w:hAnsi="Century Gothic"/>
          <w:szCs w:val="24"/>
        </w:rPr>
      </w:pPr>
      <w:r w:rsidRPr="008101FF">
        <w:rPr>
          <w:rStyle w:val="Textoennegrita"/>
          <w:rFonts w:ascii="Century Gothic" w:hAnsi="Century Gothic"/>
          <w:b w:val="0"/>
          <w:bCs w:val="0"/>
          <w:bdr w:val="none" w:sz="0" w:space="0" w:color="auto" w:frame="1"/>
          <w:shd w:val="clear" w:color="auto" w:fill="FFFFFF"/>
        </w:rPr>
        <w:t>¿Por qué mejor no reducir el gasto en publicidad gubernamental como lo ha hecho el Gobierno Federal</w:t>
      </w:r>
      <w:r w:rsidR="008101FF" w:rsidRPr="008101FF">
        <w:rPr>
          <w:rStyle w:val="Textoennegrita"/>
          <w:rFonts w:ascii="Century Gothic" w:hAnsi="Century Gothic"/>
          <w:b w:val="0"/>
          <w:bCs w:val="0"/>
          <w:bdr w:val="none" w:sz="0" w:space="0" w:color="auto" w:frame="1"/>
          <w:shd w:val="clear" w:color="auto" w:fill="FFFFFF"/>
        </w:rPr>
        <w:t>? Como resultado</w:t>
      </w:r>
      <w:r w:rsidR="008101FF">
        <w:rPr>
          <w:rStyle w:val="Textoennegrita"/>
          <w:rFonts w:ascii="Century Gothic" w:hAnsi="Century Gothic"/>
          <w:b w:val="0"/>
          <w:bCs w:val="0"/>
          <w:bdr w:val="none" w:sz="0" w:space="0" w:color="auto" w:frame="1"/>
          <w:shd w:val="clear" w:color="auto" w:fill="FFFFFF"/>
        </w:rPr>
        <w:t xml:space="preserve"> se </w:t>
      </w:r>
      <w:r w:rsidR="008101FF" w:rsidRPr="008101FF">
        <w:rPr>
          <w:rStyle w:val="Textoennegrita"/>
          <w:rFonts w:ascii="Century Gothic" w:hAnsi="Century Gothic"/>
          <w:b w:val="0"/>
          <w:bCs w:val="0"/>
          <w:bdr w:val="none" w:sz="0" w:space="0" w:color="auto" w:frame="1"/>
          <w:shd w:val="clear" w:color="auto" w:fill="FFFFFF"/>
        </w:rPr>
        <w:t>ha</w:t>
      </w:r>
      <w:r w:rsidR="008101FF">
        <w:rPr>
          <w:rStyle w:val="Textoennegrita"/>
          <w:rFonts w:ascii="Century Gothic" w:hAnsi="Century Gothic"/>
          <w:b w:val="0"/>
          <w:bCs w:val="0"/>
          <w:bdr w:val="none" w:sz="0" w:space="0" w:color="auto" w:frame="1"/>
          <w:shd w:val="clear" w:color="auto" w:fill="FFFFFF"/>
        </w:rPr>
        <w:t>n</w:t>
      </w:r>
      <w:r w:rsidR="008101FF" w:rsidRPr="008101FF">
        <w:rPr>
          <w:rStyle w:val="Textoennegrita"/>
          <w:rFonts w:ascii="Century Gothic" w:hAnsi="Century Gothic"/>
          <w:b w:val="0"/>
          <w:bCs w:val="0"/>
          <w:bdr w:val="none" w:sz="0" w:space="0" w:color="auto" w:frame="1"/>
          <w:shd w:val="clear" w:color="auto" w:fill="FFFFFF"/>
        </w:rPr>
        <w:t xml:space="preserve"> ahorrado </w:t>
      </w:r>
      <w:r w:rsidR="008101FF" w:rsidRPr="008101FF">
        <w:rPr>
          <w:rFonts w:ascii="Century Gothic" w:hAnsi="Century Gothic"/>
          <w:shd w:val="clear" w:color="auto" w:fill="FFFFFF"/>
        </w:rPr>
        <w:t xml:space="preserve">42 mil millones de pesos. Esto porque ya no resulta indispensable tanto gasto ya que gracias a las conferencias </w:t>
      </w:r>
      <w:r w:rsidR="008101FF" w:rsidRPr="008101FF">
        <w:rPr>
          <w:rFonts w:ascii="Century Gothic" w:hAnsi="Century Gothic"/>
        </w:rPr>
        <w:t>matutinas</w:t>
      </w:r>
      <w:r w:rsidR="008101FF" w:rsidRPr="008101FF">
        <w:rPr>
          <w:rStyle w:val="Textoennegrita"/>
          <w:rFonts w:ascii="Century Gothic" w:hAnsi="Century Gothic"/>
          <w:bdr w:val="none" w:sz="0" w:space="0" w:color="auto" w:frame="1"/>
        </w:rPr>
        <w:t xml:space="preserve"> </w:t>
      </w:r>
      <w:r w:rsidR="008101FF" w:rsidRPr="008101FF">
        <w:rPr>
          <w:rStyle w:val="Textoennegrita"/>
          <w:rFonts w:ascii="Century Gothic" w:hAnsi="Century Gothic"/>
          <w:b w:val="0"/>
          <w:bCs w:val="0"/>
          <w:bdr w:val="none" w:sz="0" w:space="0" w:color="auto" w:frame="1"/>
        </w:rPr>
        <w:t>se</w:t>
      </w:r>
      <w:r w:rsidR="008101FF" w:rsidRPr="008101FF">
        <w:rPr>
          <w:rStyle w:val="Textoennegrita"/>
          <w:rFonts w:ascii="Century Gothic" w:hAnsi="Century Gothic"/>
          <w:bdr w:val="none" w:sz="0" w:space="0" w:color="auto" w:frame="1"/>
        </w:rPr>
        <w:t xml:space="preserve"> </w:t>
      </w:r>
      <w:r w:rsidR="008101FF" w:rsidRPr="008101FF">
        <w:rPr>
          <w:rFonts w:ascii="Century Gothic" w:hAnsi="Century Gothic"/>
          <w:sz w:val="23"/>
          <w:szCs w:val="23"/>
        </w:rPr>
        <w:t>informa</w:t>
      </w:r>
      <w:r w:rsidR="008101FF">
        <w:rPr>
          <w:rFonts w:ascii="Century Gothic" w:hAnsi="Century Gothic"/>
          <w:sz w:val="23"/>
          <w:szCs w:val="23"/>
        </w:rPr>
        <w:t xml:space="preserve"> de</w:t>
      </w:r>
      <w:r w:rsidR="008101FF" w:rsidRPr="008101FF">
        <w:rPr>
          <w:rFonts w:ascii="Century Gothic" w:hAnsi="Century Gothic"/>
          <w:sz w:val="23"/>
          <w:szCs w:val="23"/>
        </w:rPr>
        <w:t xml:space="preserve"> los temas relevantes </w:t>
      </w:r>
      <w:r w:rsidR="008101FF">
        <w:rPr>
          <w:rFonts w:ascii="Century Gothic" w:hAnsi="Century Gothic"/>
          <w:sz w:val="23"/>
          <w:szCs w:val="23"/>
        </w:rPr>
        <w:t xml:space="preserve">del </w:t>
      </w:r>
      <w:r w:rsidR="008101FF" w:rsidRPr="008101FF">
        <w:rPr>
          <w:rFonts w:ascii="Century Gothic" w:hAnsi="Century Gothic"/>
          <w:sz w:val="23"/>
          <w:szCs w:val="23"/>
        </w:rPr>
        <w:t>ejercicio gubernamental. Algo sobre lo cual el panismo se manifestó en contra de que se replicará en el gobierno estatal.</w:t>
      </w:r>
    </w:p>
    <w:p w14:paraId="515DE34B" w14:textId="036002A1" w:rsidR="004D250E" w:rsidRPr="008101FF" w:rsidRDefault="008101FF" w:rsidP="004D250E">
      <w:pPr>
        <w:spacing w:after="120" w:line="360" w:lineRule="auto"/>
        <w:ind w:left="708"/>
        <w:rPr>
          <w:rFonts w:ascii="Century Gothic" w:hAnsi="Century Gothic"/>
          <w:szCs w:val="24"/>
        </w:rPr>
      </w:pPr>
      <w:r>
        <w:rPr>
          <w:rFonts w:ascii="Century Gothic" w:hAnsi="Century Gothic"/>
          <w:szCs w:val="24"/>
        </w:rPr>
        <w:t>¿O p</w:t>
      </w:r>
      <w:r w:rsidR="004D250E" w:rsidRPr="008101FF">
        <w:rPr>
          <w:rFonts w:ascii="Century Gothic" w:hAnsi="Century Gothic"/>
          <w:szCs w:val="24"/>
        </w:rPr>
        <w:t xml:space="preserve">or qué mejor no desarrollar estrategias y campañas de comunicación destinadas a sensibilizar, informar, educar y comunicar a la población sobre aspectos concernientes al fomento de entornos y estilos de vida saludables o a la difusión de los derechos de la ciudadanía? ¿Por qué no utilizar la comunicación social para la prevención de las violencias hacia las mujeres o de sensibilización sobre la salud mental? </w:t>
      </w:r>
    </w:p>
    <w:p w14:paraId="19E59641" w14:textId="7777777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 xml:space="preserve">Utilicemos para la comunicación para satisfacción de los derechos sociales como los derechos a la pensión, a la salud o a la educación, para promocionar la oferta de servicios, las funciones y presupuesto de operación e inversión del Estado; </w:t>
      </w:r>
    </w:p>
    <w:p w14:paraId="17C20592" w14:textId="77777777" w:rsidR="004D250E" w:rsidRPr="008101FF" w:rsidRDefault="004D250E" w:rsidP="004D250E">
      <w:pPr>
        <w:spacing w:after="120" w:line="360" w:lineRule="auto"/>
        <w:ind w:left="708"/>
        <w:rPr>
          <w:rFonts w:ascii="Century Gothic" w:hAnsi="Century Gothic"/>
          <w:szCs w:val="24"/>
          <w:lang w:eastAsia="es-MX"/>
        </w:rPr>
      </w:pPr>
      <w:r w:rsidRPr="00704D18">
        <w:rPr>
          <w:rFonts w:ascii="Century Gothic" w:hAnsi="Century Gothic"/>
          <w:szCs w:val="24"/>
          <w:lang w:eastAsia="es-MX"/>
        </w:rPr>
        <w:t>En los spots que se transmiten por radio y televisión, se difunde el siguiente mensaje sobre la Plataforma Centinela:</w:t>
      </w:r>
      <w:r w:rsidRPr="008101FF">
        <w:rPr>
          <w:rFonts w:ascii="Century Gothic" w:hAnsi="Century Gothic"/>
          <w:szCs w:val="24"/>
        </w:rPr>
        <w:t xml:space="preserve"> </w:t>
      </w:r>
      <w:r w:rsidRPr="00704D18">
        <w:rPr>
          <w:rFonts w:ascii="Century Gothic" w:hAnsi="Century Gothic"/>
          <w:szCs w:val="24"/>
          <w:lang w:eastAsia="es-MX"/>
        </w:rPr>
        <w:t>“Un Chihuahua fuerte es un Chihuahua seguro. Esto es Plataforma Centinela. Tecnología e innovación por tu seguridad”.</w:t>
      </w:r>
      <w:r w:rsidRPr="008101FF">
        <w:rPr>
          <w:rFonts w:ascii="Century Gothic" w:hAnsi="Century Gothic"/>
          <w:szCs w:val="24"/>
        </w:rPr>
        <w:t xml:space="preserve"> </w:t>
      </w:r>
      <w:r w:rsidRPr="00704D18">
        <w:rPr>
          <w:rFonts w:ascii="Century Gothic" w:hAnsi="Century Gothic"/>
          <w:szCs w:val="24"/>
          <w:lang w:eastAsia="es-MX"/>
        </w:rPr>
        <w:t>“Con vigilancia terrestre y aérea y equipo de última tecnología”.</w:t>
      </w:r>
      <w:r w:rsidRPr="008101FF">
        <w:rPr>
          <w:rFonts w:ascii="Century Gothic" w:hAnsi="Century Gothic"/>
          <w:szCs w:val="24"/>
        </w:rPr>
        <w:t xml:space="preserve"> </w:t>
      </w:r>
      <w:r w:rsidRPr="00704D18">
        <w:rPr>
          <w:rFonts w:ascii="Century Gothic" w:hAnsi="Century Gothic"/>
          <w:szCs w:val="24"/>
          <w:lang w:eastAsia="es-MX"/>
        </w:rPr>
        <w:t xml:space="preserve">“Por aire y drones tácticos de vigilancia y equipo </w:t>
      </w:r>
      <w:proofErr w:type="spellStart"/>
      <w:r w:rsidRPr="00704D18">
        <w:rPr>
          <w:rFonts w:ascii="Century Gothic" w:hAnsi="Century Gothic"/>
          <w:szCs w:val="24"/>
          <w:lang w:eastAsia="es-MX"/>
        </w:rPr>
        <w:t>antidrones</w:t>
      </w:r>
      <w:proofErr w:type="spellEnd"/>
      <w:r w:rsidRPr="00704D18">
        <w:rPr>
          <w:rFonts w:ascii="Century Gothic" w:hAnsi="Century Gothic"/>
          <w:szCs w:val="24"/>
          <w:lang w:eastAsia="es-MX"/>
        </w:rPr>
        <w:t xml:space="preserve"> enemigo”</w:t>
      </w:r>
      <w:r w:rsidRPr="008101FF">
        <w:rPr>
          <w:rFonts w:ascii="Century Gothic" w:hAnsi="Century Gothic"/>
          <w:szCs w:val="24"/>
        </w:rPr>
        <w:t xml:space="preserve">. </w:t>
      </w:r>
      <w:r w:rsidRPr="00704D18">
        <w:rPr>
          <w:rFonts w:ascii="Century Gothic" w:hAnsi="Century Gothic"/>
          <w:szCs w:val="24"/>
          <w:lang w:eastAsia="es-MX"/>
        </w:rPr>
        <w:t>“Por tierra, arcos Centinela con censores de captación biométricos distribuidos en puntos estratégicos, registrando cada vehículo que entre o salga del estado”</w:t>
      </w:r>
    </w:p>
    <w:p w14:paraId="095C703C" w14:textId="7777777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Sin embargo, e</w:t>
      </w:r>
      <w:r w:rsidRPr="00704D18">
        <w:rPr>
          <w:rFonts w:ascii="Century Gothic" w:hAnsi="Century Gothic"/>
          <w:szCs w:val="24"/>
          <w:lang w:eastAsia="es-MX"/>
        </w:rPr>
        <w:t>n los spots y desplegados difundidos por Gobierno del Estado no se informan los plazos, ni cómo se gastarán 4 mil 200 millones de pesos para la implementación de la Plataforma Centinela.</w:t>
      </w:r>
      <w:r w:rsidRPr="008101FF">
        <w:rPr>
          <w:rFonts w:ascii="Century Gothic" w:hAnsi="Century Gothic"/>
          <w:szCs w:val="24"/>
        </w:rPr>
        <w:t xml:space="preserve"> </w:t>
      </w:r>
      <w:r w:rsidRPr="00704D18">
        <w:rPr>
          <w:rFonts w:ascii="Century Gothic" w:hAnsi="Century Gothic"/>
          <w:szCs w:val="24"/>
          <w:lang w:eastAsia="es-MX"/>
        </w:rPr>
        <w:t xml:space="preserve">Tampoco informa </w:t>
      </w:r>
      <w:r w:rsidRPr="008101FF">
        <w:rPr>
          <w:rFonts w:ascii="Century Gothic" w:hAnsi="Century Gothic"/>
          <w:szCs w:val="24"/>
        </w:rPr>
        <w:t>que la</w:t>
      </w:r>
      <w:r w:rsidRPr="00704D18">
        <w:rPr>
          <w:rFonts w:ascii="Century Gothic" w:hAnsi="Century Gothic"/>
          <w:szCs w:val="24"/>
          <w:lang w:eastAsia="es-MX"/>
        </w:rPr>
        <w:t xml:space="preserve"> empresa </w:t>
      </w:r>
      <w:proofErr w:type="spellStart"/>
      <w:r w:rsidRPr="00704D18">
        <w:rPr>
          <w:rFonts w:ascii="Century Gothic" w:hAnsi="Century Gothic"/>
          <w:szCs w:val="24"/>
          <w:lang w:eastAsia="es-MX"/>
        </w:rPr>
        <w:t>SeguriTech</w:t>
      </w:r>
      <w:proofErr w:type="spellEnd"/>
      <w:r w:rsidRPr="00704D18">
        <w:rPr>
          <w:rFonts w:ascii="Century Gothic" w:hAnsi="Century Gothic"/>
          <w:szCs w:val="24"/>
          <w:lang w:eastAsia="es-MX"/>
        </w:rPr>
        <w:t xml:space="preserve"> Privada será</w:t>
      </w:r>
      <w:r w:rsidRPr="008101FF">
        <w:rPr>
          <w:rFonts w:ascii="Century Gothic" w:hAnsi="Century Gothic"/>
          <w:szCs w:val="24"/>
        </w:rPr>
        <w:t xml:space="preserve"> la</w:t>
      </w:r>
      <w:r w:rsidRPr="00704D18">
        <w:rPr>
          <w:rFonts w:ascii="Century Gothic" w:hAnsi="Century Gothic"/>
          <w:szCs w:val="24"/>
          <w:lang w:eastAsia="es-MX"/>
        </w:rPr>
        <w:t xml:space="preserve"> propietaria de la Plataforma y la Torre Centinela durante cinco años</w:t>
      </w:r>
      <w:r w:rsidRPr="008101FF">
        <w:rPr>
          <w:rFonts w:ascii="Century Gothic" w:hAnsi="Century Gothic"/>
          <w:szCs w:val="24"/>
        </w:rPr>
        <w:t xml:space="preserve">. ¿Por qué no se da a conocer que </w:t>
      </w:r>
      <w:r w:rsidRPr="008101FF">
        <w:rPr>
          <w:rFonts w:ascii="Century Gothic" w:hAnsi="Century Gothic"/>
          <w:szCs w:val="24"/>
          <w:lang w:eastAsia="es-MX"/>
        </w:rPr>
        <w:t>la construcción de la torre centinela es parte de un servicio integral, que no se sometió al marco legal de la Ley de Obra Pública?</w:t>
      </w:r>
    </w:p>
    <w:p w14:paraId="3A4A5822" w14:textId="694A7D13"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 xml:space="preserve">El panismo se rasga las vestiduras por la transparencia, pero la transparencia ha quedado sepultada con el actual proyecto Torre Centinela. Aquí en el Congreso del Estado de Chihuahua el panismo desechó una propuesta para exhortar a la Secretaría de Seguridad Pública del Estado (SSPE) y la Secretaría de Hacienda a que garanticen acceso a versiones públicas frente las solicitudes de información acerca de la Torre Centinela. </w:t>
      </w:r>
    </w:p>
    <w:p w14:paraId="5123DBE1" w14:textId="0E621BEC" w:rsidR="004D250E" w:rsidRPr="008101FF" w:rsidRDefault="004D250E" w:rsidP="008101FF">
      <w:pPr>
        <w:spacing w:after="120" w:line="360" w:lineRule="auto"/>
        <w:ind w:left="708"/>
        <w:rPr>
          <w:rFonts w:ascii="Century Gothic" w:hAnsi="Century Gothic"/>
          <w:szCs w:val="24"/>
        </w:rPr>
      </w:pPr>
      <w:r w:rsidRPr="008101FF">
        <w:rPr>
          <w:rFonts w:ascii="Century Gothic" w:hAnsi="Century Gothic"/>
          <w:szCs w:val="24"/>
        </w:rPr>
        <w:t xml:space="preserve">La publicidad de la Torre Centinela es solo oropel de un sistema de </w:t>
      </w:r>
      <w:proofErr w:type="spellStart"/>
      <w:r w:rsidRPr="008101FF">
        <w:rPr>
          <w:rFonts w:ascii="Century Gothic" w:hAnsi="Century Gothic"/>
          <w:szCs w:val="24"/>
        </w:rPr>
        <w:t>videovigilancia</w:t>
      </w:r>
      <w:proofErr w:type="spellEnd"/>
      <w:r w:rsidRPr="008101FF">
        <w:rPr>
          <w:rFonts w:ascii="Century Gothic" w:hAnsi="Century Gothic"/>
          <w:szCs w:val="24"/>
        </w:rPr>
        <w:t xml:space="preserve"> que costará más de cuatro mil millones de pesos y del que las </w:t>
      </w:r>
      <w:hyperlink r:id="rId9" w:history="1">
        <w:r w:rsidRPr="008101FF">
          <w:rPr>
            <w:rStyle w:val="Hipervnculo"/>
            <w:rFonts w:ascii="Century Gothic" w:hAnsi="Century Gothic"/>
            <w:color w:val="auto"/>
            <w:szCs w:val="24"/>
            <w:u w:val="none"/>
          </w:rPr>
          <w:t>secretarías de Seguridad Pública y de Hacienda han reservado toda información</w:t>
        </w:r>
      </w:hyperlink>
      <w:r w:rsidRPr="008101FF">
        <w:rPr>
          <w:rFonts w:ascii="Century Gothic" w:hAnsi="Century Gothic"/>
          <w:szCs w:val="24"/>
        </w:rPr>
        <w:t>. Hay mucha propaganda vacía sobre la torre centinela, pero poca transparencia sobre el recurso.</w:t>
      </w:r>
    </w:p>
    <w:p w14:paraId="67B7242C" w14:textId="7777777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Sin licitaciones públicas y sin explicación de la información de una obra que tendrá endeudado al estado. Una empresa estará recibiendo por Gobierno del Estado de los chihuahuenses 4 mil millones de pesos.</w:t>
      </w:r>
    </w:p>
    <w:p w14:paraId="77F3993A" w14:textId="77777777" w:rsidR="004D250E" w:rsidRPr="008101FF" w:rsidRDefault="004D250E" w:rsidP="004D250E">
      <w:pPr>
        <w:spacing w:after="120" w:line="360" w:lineRule="auto"/>
        <w:ind w:left="708"/>
        <w:rPr>
          <w:rFonts w:ascii="Century Gothic" w:hAnsi="Century Gothic"/>
          <w:szCs w:val="24"/>
        </w:rPr>
      </w:pPr>
      <w:r w:rsidRPr="008101FF">
        <w:rPr>
          <w:rFonts w:ascii="Century Gothic" w:hAnsi="Century Gothic"/>
          <w:szCs w:val="24"/>
        </w:rPr>
        <w:t xml:space="preserve">La publicidad ejercida para la torre centinela no tiene más que el fin de buscar legitimar la contratación de una empresa, con antecedentes de irregularidades y manejo de sobreprecios en proyectos de seguridad en otras entidades del país. Hablamos de una propaganda de 39 millones de pesos, que te venden como seguridad cuando en realidad es espionaje y que hasta hoy no tiene resultados </w:t>
      </w:r>
    </w:p>
    <w:p w14:paraId="5A91D24E" w14:textId="77777777" w:rsidR="00446CE8" w:rsidRPr="004D250E" w:rsidRDefault="00446CE8" w:rsidP="007044AE">
      <w:pPr>
        <w:spacing w:after="120" w:line="360" w:lineRule="auto"/>
        <w:ind w:left="851"/>
        <w:rPr>
          <w:rFonts w:ascii="Century Gothic" w:hAnsi="Century Gothic" w:cs="Calibri"/>
          <w:szCs w:val="24"/>
          <w:shd w:val="clear" w:color="auto" w:fill="FFFFFF"/>
        </w:rPr>
      </w:pPr>
    </w:p>
    <w:p w14:paraId="0A8800B2" w14:textId="77777777" w:rsidR="002D56F2" w:rsidRPr="004D250E" w:rsidRDefault="002D56F2" w:rsidP="00870BE1">
      <w:pPr>
        <w:spacing w:after="120" w:line="360" w:lineRule="auto"/>
        <w:ind w:left="426"/>
        <w:jc w:val="center"/>
        <w:rPr>
          <w:rFonts w:ascii="Century Gothic" w:eastAsia="Century Gothic" w:hAnsi="Century Gothic" w:cs="Century Gothic"/>
          <w:b/>
          <w:bCs/>
          <w:szCs w:val="24"/>
        </w:rPr>
      </w:pPr>
      <w:r w:rsidRPr="004D250E">
        <w:rPr>
          <w:rFonts w:ascii="Century Gothic" w:eastAsia="Century Gothic" w:hAnsi="Century Gothic" w:cs="Century Gothic"/>
          <w:b/>
          <w:bCs/>
          <w:szCs w:val="24"/>
        </w:rPr>
        <w:t>ACUERDO:</w:t>
      </w:r>
    </w:p>
    <w:p w14:paraId="7CBED0D1" w14:textId="4F2D9C1A" w:rsidR="004D250E" w:rsidRPr="004D250E" w:rsidRDefault="002D56F2" w:rsidP="004D250E">
      <w:pPr>
        <w:spacing w:after="120" w:line="360" w:lineRule="auto"/>
        <w:ind w:left="708"/>
        <w:rPr>
          <w:rFonts w:ascii="Century Gothic" w:hAnsi="Century Gothic"/>
          <w:szCs w:val="24"/>
        </w:rPr>
      </w:pPr>
      <w:r w:rsidRPr="004D250E">
        <w:rPr>
          <w:rFonts w:ascii="Century Gothic" w:eastAsia="Century Gothic" w:hAnsi="Century Gothic" w:cs="Century Gothic"/>
          <w:b/>
          <w:szCs w:val="24"/>
        </w:rPr>
        <w:t xml:space="preserve">PRIMERO.  La Sexagésima Séptima Legislatura </w:t>
      </w:r>
      <w:r w:rsidR="004D250E" w:rsidRPr="004D250E">
        <w:rPr>
          <w:rFonts w:ascii="Century Gothic" w:hAnsi="Century Gothic"/>
          <w:b/>
          <w:szCs w:val="24"/>
        </w:rPr>
        <w:t xml:space="preserve">exhorta al Gobierno del Estado para que realice un plan </w:t>
      </w:r>
      <w:r w:rsidR="004D250E">
        <w:rPr>
          <w:rFonts w:ascii="Century Gothic" w:hAnsi="Century Gothic"/>
          <w:b/>
          <w:szCs w:val="24"/>
        </w:rPr>
        <w:t xml:space="preserve">de comunicación </w:t>
      </w:r>
      <w:r w:rsidR="004D250E" w:rsidRPr="004D250E">
        <w:rPr>
          <w:rFonts w:ascii="Century Gothic" w:hAnsi="Century Gothic"/>
          <w:b/>
          <w:szCs w:val="24"/>
        </w:rPr>
        <w:t>que concentre el gasto de la publicidad oficial en campañas de orientación socialmente indispensable, tales como, información para prevenir y tratar las adicciones y problemas de salud; violencia intrafamiliar; machismo, preservación y tratamiento del agua y promoción de los derechos de las y los ciudadanos.</w:t>
      </w:r>
    </w:p>
    <w:p w14:paraId="00B2719F" w14:textId="77777777" w:rsidR="005C4738" w:rsidRPr="004D250E" w:rsidRDefault="005C4738" w:rsidP="004D250E">
      <w:pPr>
        <w:spacing w:after="120" w:line="360" w:lineRule="auto"/>
        <w:rPr>
          <w:rFonts w:ascii="Century Gothic" w:hAnsi="Century Gothic"/>
          <w:b/>
          <w:szCs w:val="24"/>
        </w:rPr>
      </w:pPr>
    </w:p>
    <w:p w14:paraId="7DFAB027" w14:textId="77777777" w:rsidR="002D56F2" w:rsidRPr="004D250E" w:rsidRDefault="002D56F2" w:rsidP="00870BE1">
      <w:pPr>
        <w:spacing w:after="120" w:line="360" w:lineRule="auto"/>
        <w:ind w:left="709"/>
        <w:rPr>
          <w:rFonts w:ascii="Century Gothic" w:hAnsi="Century Gothic" w:cs="Arial"/>
          <w:szCs w:val="24"/>
        </w:rPr>
      </w:pPr>
      <w:r w:rsidRPr="004D250E">
        <w:rPr>
          <w:rFonts w:ascii="Century Gothic" w:hAnsi="Century Gothic" w:cs="Arial"/>
          <w:b/>
          <w:szCs w:val="24"/>
        </w:rPr>
        <w:t xml:space="preserve">ECONÓMICO. </w:t>
      </w:r>
      <w:r w:rsidRPr="004D250E">
        <w:rPr>
          <w:rFonts w:ascii="Century Gothic" w:hAnsi="Century Gothic" w:cs="Arial"/>
          <w:szCs w:val="24"/>
        </w:rPr>
        <w:t>Aprobado que sea, remítase copia del presente acuerdo, así como de la proposición que le dio origen a la autoridad antes mencionada.</w:t>
      </w:r>
    </w:p>
    <w:p w14:paraId="68564A28" w14:textId="4B671404" w:rsidR="007044AE" w:rsidRPr="004D250E" w:rsidRDefault="002D56F2" w:rsidP="004D250E">
      <w:pPr>
        <w:spacing w:after="120" w:line="360" w:lineRule="auto"/>
        <w:ind w:left="709"/>
        <w:rPr>
          <w:rFonts w:ascii="Century Gothic" w:eastAsia="Century Gothic" w:hAnsi="Century Gothic" w:cs="Century Gothic"/>
          <w:szCs w:val="24"/>
        </w:rPr>
      </w:pPr>
      <w:r w:rsidRPr="004D250E">
        <w:rPr>
          <w:rFonts w:ascii="Century Gothic" w:eastAsia="Century Gothic" w:hAnsi="Century Gothic" w:cs="Century Gothic"/>
          <w:szCs w:val="24"/>
        </w:rPr>
        <w:t xml:space="preserve">Dado en el Recinto Oficial del Congreso del Estado de Chihuahua, a los </w:t>
      </w:r>
      <w:r w:rsidR="00B005DF" w:rsidRPr="004D250E">
        <w:rPr>
          <w:rFonts w:ascii="Century Gothic" w:eastAsia="Century Gothic" w:hAnsi="Century Gothic" w:cs="Century Gothic"/>
          <w:szCs w:val="24"/>
        </w:rPr>
        <w:t>1</w:t>
      </w:r>
      <w:r w:rsidR="00133023">
        <w:rPr>
          <w:rFonts w:ascii="Century Gothic" w:eastAsia="Century Gothic" w:hAnsi="Century Gothic" w:cs="Century Gothic"/>
          <w:szCs w:val="24"/>
        </w:rPr>
        <w:t>6</w:t>
      </w:r>
      <w:r w:rsidR="00B005DF" w:rsidRPr="004D250E">
        <w:rPr>
          <w:rFonts w:ascii="Century Gothic" w:eastAsia="Century Gothic" w:hAnsi="Century Gothic" w:cs="Century Gothic"/>
          <w:szCs w:val="24"/>
        </w:rPr>
        <w:t xml:space="preserve"> días del mes de </w:t>
      </w:r>
      <w:r w:rsidR="004D250E">
        <w:rPr>
          <w:rFonts w:ascii="Century Gothic" w:eastAsia="Century Gothic" w:hAnsi="Century Gothic" w:cs="Century Gothic"/>
          <w:szCs w:val="24"/>
        </w:rPr>
        <w:t>mayo</w:t>
      </w:r>
      <w:r w:rsidR="00B005DF" w:rsidRPr="004D250E">
        <w:rPr>
          <w:rFonts w:ascii="Century Gothic" w:eastAsia="Century Gothic" w:hAnsi="Century Gothic" w:cs="Century Gothic"/>
          <w:szCs w:val="24"/>
        </w:rPr>
        <w:t xml:space="preserve"> </w:t>
      </w:r>
      <w:r w:rsidRPr="004D250E">
        <w:rPr>
          <w:rFonts w:ascii="Century Gothic" w:eastAsia="Century Gothic" w:hAnsi="Century Gothic" w:cs="Century Gothic"/>
          <w:szCs w:val="24"/>
        </w:rPr>
        <w:t>del 2023.</w:t>
      </w:r>
    </w:p>
    <w:p w14:paraId="5B89BA8F" w14:textId="7CDAD337" w:rsidR="002D56F2" w:rsidRPr="00870BE1" w:rsidRDefault="002D56F2" w:rsidP="00870BE1">
      <w:pPr>
        <w:spacing w:after="120" w:line="360" w:lineRule="auto"/>
        <w:ind w:left="426"/>
        <w:jc w:val="center"/>
        <w:rPr>
          <w:rFonts w:ascii="Century Gothic" w:hAnsi="Century Gothic" w:cstheme="majorHAnsi"/>
          <w:b/>
          <w:sz w:val="22"/>
        </w:rPr>
      </w:pPr>
      <w:r w:rsidRPr="00870BE1">
        <w:rPr>
          <w:rFonts w:ascii="Century Gothic" w:hAnsi="Century Gothic" w:cstheme="majorHAnsi"/>
          <w:b/>
          <w:sz w:val="22"/>
        </w:rPr>
        <w:t>A T E N T A M E N T E</w:t>
      </w:r>
    </w:p>
    <w:p w14:paraId="4DC6F3A3" w14:textId="77777777" w:rsidR="002D56F2" w:rsidRPr="00870BE1" w:rsidRDefault="002D56F2" w:rsidP="00870BE1">
      <w:pPr>
        <w:spacing w:after="120" w:line="360" w:lineRule="auto"/>
        <w:ind w:left="426"/>
        <w:jc w:val="center"/>
        <w:rPr>
          <w:rFonts w:ascii="Century Gothic" w:hAnsi="Century Gothic" w:cstheme="majorHAnsi"/>
          <w:b/>
          <w:bCs/>
          <w:sz w:val="22"/>
        </w:rPr>
      </w:pPr>
    </w:p>
    <w:p w14:paraId="647D9F6F" w14:textId="77777777" w:rsidR="002D56F2" w:rsidRPr="00870BE1" w:rsidRDefault="002D56F2" w:rsidP="00870BE1">
      <w:pPr>
        <w:spacing w:after="120" w:line="360" w:lineRule="auto"/>
        <w:ind w:left="426"/>
        <w:jc w:val="center"/>
        <w:rPr>
          <w:rFonts w:ascii="Century Gothic" w:hAnsi="Century Gothic" w:cstheme="majorHAnsi"/>
          <w:b/>
          <w:bCs/>
          <w:sz w:val="22"/>
        </w:rPr>
      </w:pPr>
      <w:r w:rsidRPr="00870BE1">
        <w:rPr>
          <w:rFonts w:ascii="Century Gothic" w:hAnsi="Century Gothic" w:cstheme="majorHAnsi"/>
          <w:b/>
          <w:bCs/>
          <w:sz w:val="22"/>
        </w:rPr>
        <w:t>DIP. LETICIA ORTEGA MÁYNEZ</w:t>
      </w:r>
    </w:p>
    <w:tbl>
      <w:tblPr>
        <w:tblStyle w:val="Tablaconcuadrcula1"/>
        <w:tblpPr w:leftFromText="141" w:rightFromText="141" w:vertAnchor="text" w:horzAnchor="margin" w:tblpY="107"/>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443"/>
      </w:tblGrid>
      <w:tr w:rsidR="002D56F2" w:rsidRPr="00870BE1" w14:paraId="0E104FCF" w14:textId="77777777">
        <w:trPr>
          <w:trHeight w:val="1640"/>
        </w:trPr>
        <w:tc>
          <w:tcPr>
            <w:tcW w:w="4443" w:type="dxa"/>
            <w:vAlign w:val="bottom"/>
          </w:tcPr>
          <w:p w14:paraId="208B6281" w14:textId="77777777" w:rsidR="002D56F2" w:rsidRPr="00870BE1" w:rsidRDefault="002D56F2" w:rsidP="00870BE1">
            <w:pPr>
              <w:spacing w:after="120" w:line="360" w:lineRule="auto"/>
              <w:jc w:val="both"/>
              <w:rPr>
                <w:rFonts w:ascii="Century Gothic" w:hAnsi="Century Gothic" w:cstheme="majorHAnsi"/>
                <w:b/>
                <w:bCs/>
              </w:rPr>
            </w:pPr>
          </w:p>
          <w:p w14:paraId="1E4EA0EB" w14:textId="77777777" w:rsidR="002D56F2" w:rsidRPr="00870BE1" w:rsidRDefault="002D56F2" w:rsidP="00870BE1">
            <w:pPr>
              <w:spacing w:after="120" w:line="360" w:lineRule="auto"/>
              <w:ind w:left="426"/>
              <w:jc w:val="center"/>
              <w:rPr>
                <w:rFonts w:ascii="Century Gothic" w:hAnsi="Century Gothic" w:cstheme="majorHAnsi"/>
                <w:b/>
                <w:bCs/>
              </w:rPr>
            </w:pPr>
          </w:p>
          <w:p w14:paraId="498017BC" w14:textId="77777777"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hAnsi="Century Gothic" w:cstheme="majorHAnsi"/>
                <w:b/>
                <w:bCs/>
              </w:rPr>
              <w:t>DIP.MARIA ANTONIETA PÉREZ REYES</w:t>
            </w:r>
          </w:p>
          <w:p w14:paraId="521B6242" w14:textId="77777777" w:rsidR="002D56F2" w:rsidRPr="00870BE1" w:rsidRDefault="002D56F2" w:rsidP="00870BE1">
            <w:pPr>
              <w:spacing w:after="120" w:line="360" w:lineRule="auto"/>
              <w:ind w:left="426"/>
              <w:jc w:val="center"/>
              <w:rPr>
                <w:rFonts w:ascii="Century Gothic" w:hAnsi="Century Gothic" w:cstheme="majorHAnsi"/>
                <w:b/>
                <w:bCs/>
              </w:rPr>
            </w:pPr>
          </w:p>
        </w:tc>
        <w:tc>
          <w:tcPr>
            <w:tcW w:w="4443" w:type="dxa"/>
            <w:vAlign w:val="center"/>
          </w:tcPr>
          <w:p w14:paraId="7F956B71" w14:textId="77777777" w:rsidR="002D56F2" w:rsidRPr="00870BE1" w:rsidRDefault="002D56F2" w:rsidP="00870BE1">
            <w:pPr>
              <w:spacing w:after="120" w:line="360" w:lineRule="auto"/>
              <w:ind w:left="426"/>
              <w:jc w:val="center"/>
              <w:rPr>
                <w:rFonts w:ascii="Century Gothic" w:hAnsi="Century Gothic" w:cstheme="majorHAnsi"/>
                <w:b/>
                <w:bCs/>
              </w:rPr>
            </w:pPr>
          </w:p>
          <w:p w14:paraId="2247DCB7" w14:textId="77777777" w:rsidR="002D56F2" w:rsidRPr="00870BE1" w:rsidRDefault="002D56F2" w:rsidP="00870BE1">
            <w:pPr>
              <w:spacing w:after="120" w:line="360" w:lineRule="auto"/>
              <w:ind w:left="426"/>
              <w:jc w:val="center"/>
              <w:rPr>
                <w:rFonts w:ascii="Century Gothic" w:hAnsi="Century Gothic" w:cstheme="majorHAnsi"/>
                <w:b/>
                <w:bCs/>
              </w:rPr>
            </w:pPr>
          </w:p>
          <w:p w14:paraId="39EB2C53" w14:textId="77777777"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hAnsi="Century Gothic" w:cstheme="majorHAnsi"/>
                <w:b/>
                <w:bCs/>
              </w:rPr>
              <w:t>DIP. ÓSCAR DANIEL AVITIA ARELLANES</w:t>
            </w:r>
          </w:p>
        </w:tc>
      </w:tr>
      <w:tr w:rsidR="002D56F2" w:rsidRPr="00870BE1" w14:paraId="1AD4DA68" w14:textId="77777777">
        <w:trPr>
          <w:trHeight w:val="1640"/>
        </w:trPr>
        <w:tc>
          <w:tcPr>
            <w:tcW w:w="4443" w:type="dxa"/>
            <w:vAlign w:val="bottom"/>
          </w:tcPr>
          <w:p w14:paraId="22D28201" w14:textId="3605CD66"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hAnsi="Century Gothic" w:cstheme="majorHAnsi"/>
                <w:b/>
                <w:bCs/>
              </w:rPr>
              <w:t>DIP. ROSANA DÍAZ</w:t>
            </w:r>
          </w:p>
          <w:p w14:paraId="00D236FC" w14:textId="77777777"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hAnsi="Century Gothic" w:cstheme="majorHAnsi"/>
                <w:b/>
                <w:bCs/>
              </w:rPr>
              <w:t>REYES</w:t>
            </w:r>
          </w:p>
        </w:tc>
        <w:tc>
          <w:tcPr>
            <w:tcW w:w="4443" w:type="dxa"/>
            <w:vAlign w:val="bottom"/>
          </w:tcPr>
          <w:p w14:paraId="1B941420" w14:textId="77777777"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hAnsi="Century Gothic" w:cstheme="majorHAnsi"/>
                <w:b/>
                <w:bCs/>
              </w:rPr>
              <w:t>DIP. GUSTAVO DE LA ROSA HICKERSON</w:t>
            </w:r>
          </w:p>
        </w:tc>
      </w:tr>
      <w:tr w:rsidR="002D56F2" w:rsidRPr="00870BE1" w14:paraId="3C1D486C" w14:textId="77777777">
        <w:trPr>
          <w:trHeight w:val="1640"/>
        </w:trPr>
        <w:tc>
          <w:tcPr>
            <w:tcW w:w="4443" w:type="dxa"/>
            <w:vAlign w:val="bottom"/>
          </w:tcPr>
          <w:p w14:paraId="72CB9165" w14:textId="77777777"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hAnsi="Century Gothic" w:cstheme="majorHAnsi"/>
                <w:b/>
              </w:rPr>
              <w:t>DIP.</w:t>
            </w:r>
            <w:r w:rsidRPr="00870BE1">
              <w:rPr>
                <w:rFonts w:ascii="Century Gothic" w:eastAsia="Times New Roman" w:hAnsi="Century Gothic" w:cstheme="majorHAnsi"/>
                <w:b/>
              </w:rPr>
              <w:t xml:space="preserve"> EDIN CUAUHTÉMOC ESTRADA SOTELO</w:t>
            </w:r>
          </w:p>
        </w:tc>
        <w:tc>
          <w:tcPr>
            <w:tcW w:w="4443" w:type="dxa"/>
            <w:vAlign w:val="bottom"/>
          </w:tcPr>
          <w:p w14:paraId="0695CE70" w14:textId="77777777"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eastAsia="Times New Roman" w:hAnsi="Century Gothic" w:cstheme="majorHAnsi"/>
                <w:b/>
              </w:rPr>
              <w:t>DIP. MAGDALENA RENTERÍA PÉREZ</w:t>
            </w:r>
          </w:p>
        </w:tc>
      </w:tr>
      <w:tr w:rsidR="002D56F2" w:rsidRPr="00870BE1" w14:paraId="04BD7A38" w14:textId="77777777">
        <w:trPr>
          <w:trHeight w:val="1640"/>
        </w:trPr>
        <w:tc>
          <w:tcPr>
            <w:tcW w:w="4443" w:type="dxa"/>
            <w:vAlign w:val="bottom"/>
          </w:tcPr>
          <w:p w14:paraId="4A7037BE" w14:textId="77777777" w:rsidR="002D56F2" w:rsidRPr="00870BE1" w:rsidRDefault="002D56F2" w:rsidP="004D250E">
            <w:pPr>
              <w:spacing w:after="120" w:line="360" w:lineRule="auto"/>
              <w:jc w:val="both"/>
              <w:rPr>
                <w:rFonts w:ascii="Century Gothic" w:hAnsi="Century Gothic" w:cstheme="majorHAnsi"/>
                <w:b/>
                <w:bCs/>
              </w:rPr>
            </w:pPr>
          </w:p>
          <w:p w14:paraId="4E174C10" w14:textId="77777777" w:rsidR="002D56F2" w:rsidRPr="00870BE1" w:rsidRDefault="002D56F2" w:rsidP="00870BE1">
            <w:pPr>
              <w:spacing w:after="120" w:line="360" w:lineRule="auto"/>
              <w:ind w:left="426"/>
              <w:jc w:val="center"/>
              <w:rPr>
                <w:rFonts w:ascii="Century Gothic" w:hAnsi="Century Gothic" w:cstheme="majorHAnsi"/>
                <w:b/>
                <w:bCs/>
              </w:rPr>
            </w:pPr>
          </w:p>
          <w:p w14:paraId="6ECDEC0F" w14:textId="77777777" w:rsidR="002D56F2" w:rsidRPr="00870BE1" w:rsidRDefault="002D56F2" w:rsidP="00870BE1">
            <w:pPr>
              <w:spacing w:after="120" w:line="360" w:lineRule="auto"/>
              <w:ind w:left="426"/>
              <w:jc w:val="center"/>
              <w:rPr>
                <w:rFonts w:ascii="Century Gothic" w:hAnsi="Century Gothic" w:cstheme="majorHAnsi"/>
                <w:b/>
                <w:bCs/>
              </w:rPr>
            </w:pPr>
          </w:p>
          <w:p w14:paraId="6CE5EB04" w14:textId="17A581DA"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hAnsi="Century Gothic" w:cstheme="majorHAnsi"/>
                <w:b/>
                <w:bCs/>
              </w:rPr>
              <w:t>DIP. ILSE AMÉRICA GARCÍA SOTO</w:t>
            </w:r>
          </w:p>
        </w:tc>
        <w:tc>
          <w:tcPr>
            <w:tcW w:w="4443" w:type="dxa"/>
            <w:vAlign w:val="bottom"/>
          </w:tcPr>
          <w:p w14:paraId="4B75E420" w14:textId="77777777"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hAnsi="Century Gothic" w:cstheme="majorHAnsi"/>
                <w:b/>
                <w:bCs/>
              </w:rPr>
              <w:t>DIP. BENJAMÍN CARRERA CHÁVEZ</w:t>
            </w:r>
          </w:p>
        </w:tc>
      </w:tr>
      <w:tr w:rsidR="002D56F2" w:rsidRPr="00870BE1" w14:paraId="46D5B507" w14:textId="77777777">
        <w:trPr>
          <w:trHeight w:val="1640"/>
        </w:trPr>
        <w:tc>
          <w:tcPr>
            <w:tcW w:w="4443" w:type="dxa"/>
            <w:vAlign w:val="bottom"/>
          </w:tcPr>
          <w:p w14:paraId="16339A01" w14:textId="77777777" w:rsidR="00C42BF6" w:rsidRPr="00870BE1" w:rsidRDefault="00C42BF6" w:rsidP="00870BE1">
            <w:pPr>
              <w:spacing w:after="120" w:line="360" w:lineRule="auto"/>
              <w:jc w:val="both"/>
              <w:rPr>
                <w:rFonts w:ascii="Century Gothic" w:hAnsi="Century Gothic" w:cstheme="majorHAnsi"/>
                <w:b/>
                <w:bCs/>
              </w:rPr>
            </w:pPr>
          </w:p>
          <w:p w14:paraId="47D01FE9" w14:textId="77777777" w:rsidR="00C42BF6" w:rsidRPr="00870BE1" w:rsidRDefault="00C42BF6" w:rsidP="00870BE1">
            <w:pPr>
              <w:spacing w:after="120" w:line="360" w:lineRule="auto"/>
              <w:ind w:left="426"/>
              <w:jc w:val="center"/>
              <w:rPr>
                <w:rFonts w:ascii="Century Gothic" w:hAnsi="Century Gothic" w:cstheme="majorHAnsi"/>
                <w:b/>
                <w:bCs/>
              </w:rPr>
            </w:pPr>
          </w:p>
          <w:p w14:paraId="74065A9B" w14:textId="54A7E384" w:rsidR="002D56F2" w:rsidRPr="00870BE1" w:rsidRDefault="002D56F2" w:rsidP="00870BE1">
            <w:pPr>
              <w:spacing w:after="120" w:line="360" w:lineRule="auto"/>
              <w:ind w:left="426"/>
              <w:jc w:val="center"/>
              <w:rPr>
                <w:rFonts w:ascii="Century Gothic" w:hAnsi="Century Gothic" w:cstheme="majorHAnsi"/>
                <w:b/>
                <w:bCs/>
              </w:rPr>
            </w:pPr>
            <w:r w:rsidRPr="00870BE1">
              <w:rPr>
                <w:rFonts w:ascii="Century Gothic" w:hAnsi="Century Gothic" w:cstheme="majorHAnsi"/>
                <w:b/>
                <w:bCs/>
              </w:rPr>
              <w:t>DIP. DAVID OSCAR CASTREJÓN RIVAS</w:t>
            </w:r>
          </w:p>
        </w:tc>
        <w:tc>
          <w:tcPr>
            <w:tcW w:w="4443" w:type="dxa"/>
          </w:tcPr>
          <w:p w14:paraId="32CEE937" w14:textId="77777777" w:rsidR="002D56F2" w:rsidRPr="00870BE1" w:rsidRDefault="002D56F2" w:rsidP="00870BE1">
            <w:pPr>
              <w:spacing w:after="120" w:line="360" w:lineRule="auto"/>
              <w:ind w:left="426"/>
              <w:jc w:val="center"/>
              <w:rPr>
                <w:rFonts w:ascii="Century Gothic" w:hAnsi="Century Gothic" w:cstheme="majorHAnsi"/>
              </w:rPr>
            </w:pPr>
          </w:p>
        </w:tc>
      </w:tr>
    </w:tbl>
    <w:p w14:paraId="47338085" w14:textId="77777777" w:rsidR="00867114" w:rsidRPr="002D19F5" w:rsidRDefault="00867114" w:rsidP="00870BE1">
      <w:pPr>
        <w:spacing w:line="480" w:lineRule="auto"/>
        <w:rPr>
          <w:rFonts w:cs="Arial"/>
          <w:bCs/>
          <w:szCs w:val="24"/>
        </w:rPr>
      </w:pPr>
    </w:p>
    <w:sectPr w:rsidR="00867114" w:rsidRPr="002D19F5" w:rsidSect="00D5476C">
      <w:headerReference w:type="default" r:id="rId10"/>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BED04" w14:textId="77777777" w:rsidR="00522EC1" w:rsidRDefault="00522EC1" w:rsidP="000D16A0">
      <w:r>
        <w:separator/>
      </w:r>
    </w:p>
  </w:endnote>
  <w:endnote w:type="continuationSeparator" w:id="0">
    <w:p w14:paraId="3AD6CDF3" w14:textId="77777777" w:rsidR="00522EC1" w:rsidRDefault="00522EC1" w:rsidP="000D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F14DC" w14:textId="77777777" w:rsidR="00522EC1" w:rsidRDefault="00522EC1" w:rsidP="000D16A0">
      <w:r>
        <w:separator/>
      </w:r>
    </w:p>
  </w:footnote>
  <w:footnote w:type="continuationSeparator" w:id="0">
    <w:p w14:paraId="68C80F0F" w14:textId="77777777" w:rsidR="00522EC1" w:rsidRDefault="00522EC1" w:rsidP="000D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4F1D" w14:textId="77777777" w:rsidR="003E3862" w:rsidRDefault="003E3862" w:rsidP="003E3862">
    <w:pPr>
      <w:pStyle w:val="Encabezado"/>
      <w:jc w:val="right"/>
      <w:rPr>
        <w:rFonts w:ascii="Century Gothic" w:hAnsi="Century Gothic"/>
        <w:b/>
        <w:bCs/>
        <w:i/>
        <w:iCs/>
        <w:lang w:val="es-MX"/>
      </w:rPr>
    </w:pPr>
    <w:r>
      <w:rPr>
        <w:rFonts w:ascii="Century Gothic" w:hAnsi="Century Gothic"/>
        <w:b/>
        <w:bCs/>
        <w:i/>
        <w:iCs/>
      </w:rPr>
      <w:t xml:space="preserve">2023, Centenario de la Muerte del General Francisco Villa” </w:t>
    </w:r>
  </w:p>
  <w:p w14:paraId="39B5116F" w14:textId="77777777" w:rsidR="003E3862" w:rsidRDefault="003E3862" w:rsidP="003E3862">
    <w:pPr>
      <w:pStyle w:val="Encabezado"/>
      <w:jc w:val="right"/>
      <w:rPr>
        <w:rFonts w:ascii="Century Gothic" w:hAnsi="Century Gothic"/>
        <w:b/>
        <w:bCs/>
        <w:i/>
        <w:iCs/>
      </w:rPr>
    </w:pPr>
    <w:r>
      <w:rPr>
        <w:rFonts w:ascii="Century Gothic" w:hAnsi="Century Gothic"/>
        <w:b/>
        <w:bCs/>
        <w:i/>
        <w:iCs/>
      </w:rPr>
      <w:t xml:space="preserve">“2023, Cien años del </w:t>
    </w:r>
    <w:proofErr w:type="spellStart"/>
    <w:r>
      <w:rPr>
        <w:rFonts w:ascii="Century Gothic" w:hAnsi="Century Gothic"/>
        <w:b/>
        <w:bCs/>
        <w:i/>
        <w:iCs/>
      </w:rPr>
      <w:t>Rotarismo</w:t>
    </w:r>
    <w:proofErr w:type="spellEnd"/>
    <w:r>
      <w:rPr>
        <w:rFonts w:ascii="Century Gothic" w:hAnsi="Century Gothic"/>
        <w:b/>
        <w:bCs/>
        <w:i/>
        <w:iCs/>
      </w:rPr>
      <w:t xml:space="preserve"> en Chihuahua”</w:t>
    </w:r>
  </w:p>
  <w:p w14:paraId="029A25AC" w14:textId="77777777" w:rsidR="003E3862" w:rsidRDefault="003E38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91D"/>
    <w:multiLevelType w:val="multilevel"/>
    <w:tmpl w:val="DACEAFC0"/>
    <w:lvl w:ilvl="0">
      <w:start w:val="1"/>
      <w:numFmt w:val="decimal"/>
      <w:lvlText w:val="%1."/>
      <w:lvlJc w:val="left"/>
      <w:pPr>
        <w:ind w:left="1440" w:hanging="360"/>
      </w:pPr>
      <w:rPr>
        <w:b/>
        <w:bCs w:val="0"/>
      </w:rPr>
    </w:lvl>
    <w:lvl w:ilvl="1">
      <w:start w:val="2"/>
      <w:numFmt w:val="decimal"/>
      <w:isLgl/>
      <w:lvlText w:val="%1.%2"/>
      <w:lvlJc w:val="left"/>
      <w:pPr>
        <w:ind w:left="2120" w:hanging="6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0749294F"/>
    <w:multiLevelType w:val="hybridMultilevel"/>
    <w:tmpl w:val="AF1C36EC"/>
    <w:lvl w:ilvl="0" w:tplc="42C8893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3A0D29"/>
    <w:multiLevelType w:val="multilevel"/>
    <w:tmpl w:val="8D546F24"/>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b/>
        <w:bCs w:val="0"/>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27964E55"/>
    <w:multiLevelType w:val="hybridMultilevel"/>
    <w:tmpl w:val="A9CEF3AC"/>
    <w:lvl w:ilvl="0" w:tplc="C7A0D60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511DA2"/>
    <w:multiLevelType w:val="hybridMultilevel"/>
    <w:tmpl w:val="F1B673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1464A7"/>
    <w:multiLevelType w:val="hybridMultilevel"/>
    <w:tmpl w:val="C6206DFA"/>
    <w:lvl w:ilvl="0" w:tplc="B16ACDF8">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A57587"/>
    <w:multiLevelType w:val="hybridMultilevel"/>
    <w:tmpl w:val="0AA47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DB71D1"/>
    <w:multiLevelType w:val="hybridMultilevel"/>
    <w:tmpl w:val="5C189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7C17ED"/>
    <w:multiLevelType w:val="hybridMultilevel"/>
    <w:tmpl w:val="41DA9C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5D03B0D"/>
    <w:multiLevelType w:val="multilevel"/>
    <w:tmpl w:val="5C4424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44436FC"/>
    <w:multiLevelType w:val="hybridMultilevel"/>
    <w:tmpl w:val="25E8BE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ED5DCA"/>
    <w:multiLevelType w:val="hybridMultilevel"/>
    <w:tmpl w:val="EE96AADA"/>
    <w:lvl w:ilvl="0" w:tplc="080A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0405F4"/>
    <w:multiLevelType w:val="multilevel"/>
    <w:tmpl w:val="4830BF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10"/>
  </w:num>
  <w:num w:numId="5">
    <w:abstractNumId w:val="4"/>
  </w:num>
  <w:num w:numId="6">
    <w:abstractNumId w:val="5"/>
  </w:num>
  <w:num w:numId="7">
    <w:abstractNumId w:val="0"/>
  </w:num>
  <w:num w:numId="8">
    <w:abstractNumId w:val="12"/>
  </w:num>
  <w:num w:numId="9">
    <w:abstractNumId w:val="7"/>
  </w:num>
  <w:num w:numId="10">
    <w:abstractNumId w:val="6"/>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6C"/>
    <w:rsid w:val="00012606"/>
    <w:rsid w:val="000147E2"/>
    <w:rsid w:val="0007620E"/>
    <w:rsid w:val="000914A0"/>
    <w:rsid w:val="000B0BA4"/>
    <w:rsid w:val="000C21D6"/>
    <w:rsid w:val="000D16A0"/>
    <w:rsid w:val="000D421F"/>
    <w:rsid w:val="000E7942"/>
    <w:rsid w:val="000F1C37"/>
    <w:rsid w:val="00115B22"/>
    <w:rsid w:val="00133023"/>
    <w:rsid w:val="0014781B"/>
    <w:rsid w:val="00150E25"/>
    <w:rsid w:val="00186631"/>
    <w:rsid w:val="001A1EF4"/>
    <w:rsid w:val="001B019D"/>
    <w:rsid w:val="001B1CE8"/>
    <w:rsid w:val="001E23C2"/>
    <w:rsid w:val="0024101D"/>
    <w:rsid w:val="0027130A"/>
    <w:rsid w:val="002A433A"/>
    <w:rsid w:val="002A5106"/>
    <w:rsid w:val="002B2769"/>
    <w:rsid w:val="002B5C1C"/>
    <w:rsid w:val="002D19F5"/>
    <w:rsid w:val="002D56F2"/>
    <w:rsid w:val="00312047"/>
    <w:rsid w:val="0031296A"/>
    <w:rsid w:val="003241DF"/>
    <w:rsid w:val="0036692E"/>
    <w:rsid w:val="00395F6C"/>
    <w:rsid w:val="0039688D"/>
    <w:rsid w:val="003A40B2"/>
    <w:rsid w:val="003B0B56"/>
    <w:rsid w:val="003C5785"/>
    <w:rsid w:val="003E3862"/>
    <w:rsid w:val="004164F7"/>
    <w:rsid w:val="00446CE8"/>
    <w:rsid w:val="0046317B"/>
    <w:rsid w:val="004739C3"/>
    <w:rsid w:val="004A2433"/>
    <w:rsid w:val="004C0E3A"/>
    <w:rsid w:val="004C5AD6"/>
    <w:rsid w:val="004D250E"/>
    <w:rsid w:val="004E2604"/>
    <w:rsid w:val="004F4592"/>
    <w:rsid w:val="004F6028"/>
    <w:rsid w:val="005024EB"/>
    <w:rsid w:val="00522EC1"/>
    <w:rsid w:val="0053363D"/>
    <w:rsid w:val="00535134"/>
    <w:rsid w:val="00562F95"/>
    <w:rsid w:val="00566232"/>
    <w:rsid w:val="00591B90"/>
    <w:rsid w:val="005B0CE4"/>
    <w:rsid w:val="005B4D4C"/>
    <w:rsid w:val="005C4738"/>
    <w:rsid w:val="005D165D"/>
    <w:rsid w:val="005F1B43"/>
    <w:rsid w:val="00601838"/>
    <w:rsid w:val="00626252"/>
    <w:rsid w:val="00683EAF"/>
    <w:rsid w:val="006901F4"/>
    <w:rsid w:val="006B3D4C"/>
    <w:rsid w:val="006B42D2"/>
    <w:rsid w:val="006C64DF"/>
    <w:rsid w:val="006D4E41"/>
    <w:rsid w:val="006E0F5E"/>
    <w:rsid w:val="006E19F3"/>
    <w:rsid w:val="006F2979"/>
    <w:rsid w:val="007044AE"/>
    <w:rsid w:val="00725FD6"/>
    <w:rsid w:val="0073223C"/>
    <w:rsid w:val="00734920"/>
    <w:rsid w:val="00737BBD"/>
    <w:rsid w:val="00746623"/>
    <w:rsid w:val="00766A0E"/>
    <w:rsid w:val="007A4888"/>
    <w:rsid w:val="007A725E"/>
    <w:rsid w:val="008101FF"/>
    <w:rsid w:val="008229DC"/>
    <w:rsid w:val="0082369C"/>
    <w:rsid w:val="008424B1"/>
    <w:rsid w:val="00867114"/>
    <w:rsid w:val="00870BE1"/>
    <w:rsid w:val="00881E24"/>
    <w:rsid w:val="008A208B"/>
    <w:rsid w:val="008B1464"/>
    <w:rsid w:val="008F0197"/>
    <w:rsid w:val="009126A6"/>
    <w:rsid w:val="009165FD"/>
    <w:rsid w:val="009728EC"/>
    <w:rsid w:val="00981F1D"/>
    <w:rsid w:val="009919F5"/>
    <w:rsid w:val="009955DC"/>
    <w:rsid w:val="00997CA0"/>
    <w:rsid w:val="009C602C"/>
    <w:rsid w:val="009F786A"/>
    <w:rsid w:val="00A000C2"/>
    <w:rsid w:val="00A0029C"/>
    <w:rsid w:val="00A06E43"/>
    <w:rsid w:val="00A24534"/>
    <w:rsid w:val="00A75CEC"/>
    <w:rsid w:val="00A8325A"/>
    <w:rsid w:val="00A93588"/>
    <w:rsid w:val="00AB458B"/>
    <w:rsid w:val="00AD5D8E"/>
    <w:rsid w:val="00B005DF"/>
    <w:rsid w:val="00B00B61"/>
    <w:rsid w:val="00B0701A"/>
    <w:rsid w:val="00B242CC"/>
    <w:rsid w:val="00B36F6D"/>
    <w:rsid w:val="00B46DBD"/>
    <w:rsid w:val="00B500F5"/>
    <w:rsid w:val="00B54DBC"/>
    <w:rsid w:val="00B769B1"/>
    <w:rsid w:val="00B8350B"/>
    <w:rsid w:val="00BE2592"/>
    <w:rsid w:val="00BE4FC6"/>
    <w:rsid w:val="00BF2123"/>
    <w:rsid w:val="00C151BF"/>
    <w:rsid w:val="00C42BF6"/>
    <w:rsid w:val="00C44537"/>
    <w:rsid w:val="00C76363"/>
    <w:rsid w:val="00CE1612"/>
    <w:rsid w:val="00CE1F5E"/>
    <w:rsid w:val="00CF2C72"/>
    <w:rsid w:val="00D004B7"/>
    <w:rsid w:val="00D14C0D"/>
    <w:rsid w:val="00D1633A"/>
    <w:rsid w:val="00D2441D"/>
    <w:rsid w:val="00D27E52"/>
    <w:rsid w:val="00D348CC"/>
    <w:rsid w:val="00D50DB4"/>
    <w:rsid w:val="00D5476C"/>
    <w:rsid w:val="00D605D9"/>
    <w:rsid w:val="00D76FCA"/>
    <w:rsid w:val="00D85E1D"/>
    <w:rsid w:val="00D97804"/>
    <w:rsid w:val="00DB09F0"/>
    <w:rsid w:val="00DB3236"/>
    <w:rsid w:val="00DE2E53"/>
    <w:rsid w:val="00E3013E"/>
    <w:rsid w:val="00E3542A"/>
    <w:rsid w:val="00E60186"/>
    <w:rsid w:val="00E732C2"/>
    <w:rsid w:val="00E824E4"/>
    <w:rsid w:val="00E91618"/>
    <w:rsid w:val="00E91A92"/>
    <w:rsid w:val="00EA5FBF"/>
    <w:rsid w:val="00EC0C21"/>
    <w:rsid w:val="00ED7CEA"/>
    <w:rsid w:val="00EE788E"/>
    <w:rsid w:val="00EF3F72"/>
    <w:rsid w:val="00F24E28"/>
    <w:rsid w:val="00F25FC4"/>
    <w:rsid w:val="00F34C12"/>
    <w:rsid w:val="00F44EC8"/>
    <w:rsid w:val="00F82C85"/>
    <w:rsid w:val="00F9308D"/>
    <w:rsid w:val="00FA1423"/>
    <w:rsid w:val="00FC274B"/>
    <w:rsid w:val="00FD7D7C"/>
    <w:rsid w:val="00FE1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F4D0"/>
  <w15:docId w15:val="{2A55FF85-D383-47C7-B62E-B3CF9BAC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de lista1,TEXTO GENERAL SENTENCIAS,Cita texto,Footnote,List Paragraph1,Párrafo de lista2,List Paragraph,CNBV Parrafo1,Parrafo 1,Colorful List - Accent 11,Cuadrícula clara - Énfasis 31,Imagen,Tabla de contenido"/>
    <w:basedOn w:val="Normal"/>
    <w:link w:val="PrrafodelistaCar"/>
    <w:uiPriority w:val="34"/>
    <w:qFormat/>
    <w:rsid w:val="008B1464"/>
    <w:pPr>
      <w:ind w:left="720"/>
      <w:contextualSpacing/>
    </w:pPr>
  </w:style>
  <w:style w:type="paragraph" w:styleId="Textonotaalfinal">
    <w:name w:val="endnote text"/>
    <w:basedOn w:val="Normal"/>
    <w:link w:val="TextonotaalfinalCar"/>
    <w:uiPriority w:val="99"/>
    <w:semiHidden/>
    <w:unhideWhenUsed/>
    <w:rsid w:val="000D16A0"/>
    <w:rPr>
      <w:sz w:val="20"/>
      <w:szCs w:val="20"/>
    </w:rPr>
  </w:style>
  <w:style w:type="character" w:customStyle="1" w:styleId="TextonotaalfinalCar">
    <w:name w:val="Texto nota al final Car"/>
    <w:basedOn w:val="Fuentedeprrafopredeter"/>
    <w:link w:val="Textonotaalfinal"/>
    <w:uiPriority w:val="99"/>
    <w:semiHidden/>
    <w:rsid w:val="000D16A0"/>
    <w:rPr>
      <w:sz w:val="20"/>
      <w:szCs w:val="20"/>
    </w:rPr>
  </w:style>
  <w:style w:type="character" w:styleId="Refdenotaalfinal">
    <w:name w:val="endnote reference"/>
    <w:basedOn w:val="Fuentedeprrafopredeter"/>
    <w:uiPriority w:val="99"/>
    <w:semiHidden/>
    <w:unhideWhenUsed/>
    <w:rsid w:val="000D16A0"/>
    <w:rPr>
      <w:vertAlign w:val="superscript"/>
    </w:rPr>
  </w:style>
  <w:style w:type="paragraph" w:styleId="Textonotapie">
    <w:name w:val="footnote text"/>
    <w:basedOn w:val="Normal"/>
    <w:link w:val="TextonotapieCar"/>
    <w:uiPriority w:val="99"/>
    <w:semiHidden/>
    <w:unhideWhenUsed/>
    <w:rsid w:val="000D16A0"/>
    <w:rPr>
      <w:sz w:val="20"/>
      <w:szCs w:val="20"/>
    </w:rPr>
  </w:style>
  <w:style w:type="character" w:customStyle="1" w:styleId="TextonotapieCar">
    <w:name w:val="Texto nota pie Car"/>
    <w:basedOn w:val="Fuentedeprrafopredeter"/>
    <w:link w:val="Textonotapie"/>
    <w:uiPriority w:val="99"/>
    <w:semiHidden/>
    <w:rsid w:val="000D16A0"/>
    <w:rPr>
      <w:sz w:val="20"/>
      <w:szCs w:val="20"/>
    </w:rPr>
  </w:style>
  <w:style w:type="character" w:styleId="Refdenotaalpie">
    <w:name w:val="footnote reference"/>
    <w:basedOn w:val="Fuentedeprrafopredeter"/>
    <w:uiPriority w:val="99"/>
    <w:semiHidden/>
    <w:unhideWhenUsed/>
    <w:rsid w:val="000D16A0"/>
    <w:rPr>
      <w:vertAlign w:val="superscript"/>
    </w:rPr>
  </w:style>
  <w:style w:type="character" w:styleId="Hipervnculo">
    <w:name w:val="Hyperlink"/>
    <w:basedOn w:val="Fuentedeprrafopredeter"/>
    <w:uiPriority w:val="99"/>
    <w:unhideWhenUsed/>
    <w:rsid w:val="000D16A0"/>
    <w:rPr>
      <w:color w:val="0563C1" w:themeColor="hyperlink"/>
      <w:u w:val="single"/>
    </w:rPr>
  </w:style>
  <w:style w:type="character" w:styleId="Hipervnculovisitado">
    <w:name w:val="FollowedHyperlink"/>
    <w:basedOn w:val="Fuentedeprrafopredeter"/>
    <w:uiPriority w:val="99"/>
    <w:semiHidden/>
    <w:unhideWhenUsed/>
    <w:rsid w:val="000D16A0"/>
    <w:rPr>
      <w:color w:val="954F72" w:themeColor="followedHyperlink"/>
      <w:u w:val="single"/>
    </w:rPr>
  </w:style>
  <w:style w:type="paragraph" w:styleId="Encabezado">
    <w:name w:val="header"/>
    <w:basedOn w:val="Normal"/>
    <w:link w:val="EncabezadoCar"/>
    <w:uiPriority w:val="99"/>
    <w:unhideWhenUsed/>
    <w:rsid w:val="000D16A0"/>
    <w:pPr>
      <w:tabs>
        <w:tab w:val="center" w:pos="4419"/>
        <w:tab w:val="right" w:pos="8838"/>
      </w:tabs>
    </w:pPr>
  </w:style>
  <w:style w:type="character" w:customStyle="1" w:styleId="EncabezadoCar">
    <w:name w:val="Encabezado Car"/>
    <w:basedOn w:val="Fuentedeprrafopredeter"/>
    <w:link w:val="Encabezado"/>
    <w:uiPriority w:val="99"/>
    <w:rsid w:val="000D16A0"/>
  </w:style>
  <w:style w:type="paragraph" w:styleId="Piedepgina">
    <w:name w:val="footer"/>
    <w:basedOn w:val="Normal"/>
    <w:link w:val="PiedepginaCar"/>
    <w:uiPriority w:val="99"/>
    <w:unhideWhenUsed/>
    <w:rsid w:val="000D16A0"/>
    <w:pPr>
      <w:tabs>
        <w:tab w:val="center" w:pos="4419"/>
        <w:tab w:val="right" w:pos="8838"/>
      </w:tabs>
    </w:pPr>
  </w:style>
  <w:style w:type="character" w:customStyle="1" w:styleId="PiedepginaCar">
    <w:name w:val="Pie de página Car"/>
    <w:basedOn w:val="Fuentedeprrafopredeter"/>
    <w:link w:val="Piedepgina"/>
    <w:uiPriority w:val="99"/>
    <w:rsid w:val="000D16A0"/>
  </w:style>
  <w:style w:type="character" w:customStyle="1" w:styleId="UnresolvedMention">
    <w:name w:val="Unresolved Mention"/>
    <w:basedOn w:val="Fuentedeprrafopredeter"/>
    <w:uiPriority w:val="99"/>
    <w:semiHidden/>
    <w:unhideWhenUsed/>
    <w:rsid w:val="00746623"/>
    <w:rPr>
      <w:color w:val="605E5C"/>
      <w:shd w:val="clear" w:color="auto" w:fill="E1DFDD"/>
    </w:rPr>
  </w:style>
  <w:style w:type="character" w:customStyle="1" w:styleId="PrrafodelistaCar">
    <w:name w:val="Párrafo de lista Car"/>
    <w:aliases w:val="Párrafo de lista1 Car,TEXTO GENERAL SENTENCIAS Car,Cita texto Car,Footnote Car,List Paragraph1 Car,Párrafo de lista2 Car,List Paragraph Car,CNBV Parrafo1 Car,Parrafo 1 Car,Colorful List - Accent 11 Car,Imagen Car"/>
    <w:link w:val="Prrafodelista"/>
    <w:uiPriority w:val="34"/>
    <w:locked/>
    <w:rsid w:val="002D56F2"/>
    <w:rPr>
      <w:lang w:val="es-ES_tradnl"/>
    </w:rPr>
  </w:style>
  <w:style w:type="table" w:customStyle="1" w:styleId="Tablaconcuadrcula1">
    <w:name w:val="Tabla con cuadrícula1"/>
    <w:basedOn w:val="Tablanormal"/>
    <w:next w:val="Tablaconcuadrcula"/>
    <w:uiPriority w:val="39"/>
    <w:rsid w:val="002D56F2"/>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D5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Fuentedeprrafopredeter"/>
    <w:rsid w:val="00B005DF"/>
  </w:style>
  <w:style w:type="character" w:styleId="Textoennegrita">
    <w:name w:val="Strong"/>
    <w:basedOn w:val="Fuentedeprrafopredeter"/>
    <w:uiPriority w:val="22"/>
    <w:qFormat/>
    <w:rsid w:val="004D2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6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verdadjuarez.com/2022/08/11/endeuda-maru-campos-a-chihuahua-con-torre-centinela-y-oculta-contratos-del-proyec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AC7F-53F5-4203-84B0-2B91C486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1224</Words>
  <Characters>6737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Brenda Sarahi Gonzalez Dominguez</cp:lastModifiedBy>
  <cp:revision>2</cp:revision>
  <cp:lastPrinted>2022-12-19T15:55:00Z</cp:lastPrinted>
  <dcterms:created xsi:type="dcterms:W3CDTF">2023-05-11T23:34:00Z</dcterms:created>
  <dcterms:modified xsi:type="dcterms:W3CDTF">2023-05-11T23:34:00Z</dcterms:modified>
</cp:coreProperties>
</file>