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4439">
        <w:rPr>
          <w:rFonts w:ascii="Century Gothic" w:hAnsi="Century Gothic"/>
          <w:b/>
          <w:sz w:val="25"/>
          <w:szCs w:val="25"/>
          <w:lang w:val="es-MX"/>
        </w:rPr>
        <w:t>3</w:t>
      </w:r>
      <w:r w:rsidR="00B40EFC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B40EFC" w:rsidRDefault="00B40EFC" w:rsidP="00B40EF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4B5AE4">
        <w:rPr>
          <w:rFonts w:ascii="Century Gothic" w:eastAsia="Calibri" w:hAnsi="Century Gothic" w:cs="Arial"/>
          <w:b/>
          <w:sz w:val="28"/>
          <w:szCs w:val="24"/>
          <w:lang w:val="es-ES_tradnl" w:eastAsia="en-US"/>
        </w:rPr>
        <w:t>PRIMERO.-</w:t>
      </w:r>
      <w:r w:rsidRPr="004B5AE4">
        <w:rPr>
          <w:rFonts w:ascii="Century Gothic" w:eastAsia="Calibri" w:hAnsi="Century Gothic" w:cs="Arial"/>
          <w:sz w:val="28"/>
          <w:szCs w:val="24"/>
          <w:lang w:val="es-ES_tradnl" w:eastAsia="en-US"/>
        </w:rPr>
        <w:t xml:space="preserve"> </w:t>
      </w:r>
      <w:r w:rsidRPr="00B40EFC">
        <w:rPr>
          <w:rFonts w:ascii="Century Gothic" w:eastAsia="Calibri" w:hAnsi="Century Gothic" w:cs="Arial"/>
          <w:sz w:val="24"/>
          <w:szCs w:val="24"/>
          <w:lang w:val="es-ES_tradnl" w:eastAsia="en-US"/>
        </w:rPr>
        <w:t>La Sexagésima Séptima Legislatura del Honorable Congreso del Estado de Chihuahua, exhorta respetuosa y atentamente al Poder Ejecutivo Federal, por conducto de la</w:t>
      </w:r>
      <w:r w:rsidR="0090612D"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B40EF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Secretaría</w:t>
      </w:r>
      <w:r w:rsidR="0090612D"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B40EF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de Turismo</w:t>
      </w:r>
      <w:r w:rsidR="00D6730E">
        <w:rPr>
          <w:rFonts w:ascii="Century Gothic" w:eastAsia="Calibri" w:hAnsi="Century Gothic" w:cs="Arial"/>
          <w:sz w:val="24"/>
          <w:szCs w:val="24"/>
          <w:lang w:val="es-ES_tradnl" w:eastAsia="en-US"/>
        </w:rPr>
        <w:t>,</w:t>
      </w:r>
      <w:bookmarkStart w:id="0" w:name="_GoBack"/>
      <w:bookmarkEnd w:id="0"/>
      <w:r w:rsidR="0090612D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de Economía, y de Comunicaciones y Transportes</w:t>
      </w:r>
      <w:r w:rsidRPr="00B40EFC">
        <w:rPr>
          <w:rFonts w:ascii="Century Gothic" w:eastAsia="Calibri" w:hAnsi="Century Gothic" w:cs="Arial"/>
          <w:sz w:val="24"/>
          <w:szCs w:val="24"/>
          <w:lang w:val="es-ES_tradnl" w:eastAsia="en-US"/>
        </w:rPr>
        <w:t>, para que en uso de sus atribuciones y en observancia al Acuerdo por el que se expide la Estrategia Nacional de Pueblos Mágicos, se faciliten los mecanismos necesarios para coordinar acciones con el Estado de Chihuahua</w:t>
      </w:r>
      <w:r w:rsidR="004B5AE4">
        <w:rPr>
          <w:rFonts w:ascii="Century Gothic" w:eastAsia="Calibri" w:hAnsi="Century Gothic" w:cs="Arial"/>
          <w:sz w:val="24"/>
          <w:szCs w:val="24"/>
          <w:lang w:val="es-ES_tradnl" w:eastAsia="en-US"/>
        </w:rPr>
        <w:t>,</w:t>
      </w:r>
      <w:r w:rsidRPr="00B40EF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 través de las instancias competentes</w:t>
      </w:r>
      <w:r w:rsidR="004B5AE4">
        <w:rPr>
          <w:rFonts w:ascii="Century Gothic" w:eastAsia="Calibri" w:hAnsi="Century Gothic" w:cs="Arial"/>
          <w:sz w:val="24"/>
          <w:szCs w:val="24"/>
          <w:lang w:val="es-ES_tradnl" w:eastAsia="en-US"/>
        </w:rPr>
        <w:t>,</w:t>
      </w:r>
      <w:r w:rsidRPr="00B40EF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para impulsar la inversión de recursos públicos federales y estrategias para el desarrollo de los pueblos mágicos durante el ejercicio fiscal 2022. </w:t>
      </w:r>
    </w:p>
    <w:p w:rsidR="00B40EFC" w:rsidRPr="00B40EFC" w:rsidRDefault="00B40EFC" w:rsidP="00B40EF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B40EFC" w:rsidRDefault="00B40EFC" w:rsidP="00B40EF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4B5AE4">
        <w:rPr>
          <w:rFonts w:ascii="Century Gothic" w:eastAsia="Calibri" w:hAnsi="Century Gothic" w:cs="Arial"/>
          <w:b/>
          <w:bCs/>
          <w:sz w:val="28"/>
          <w:szCs w:val="24"/>
          <w:lang w:val="es-ES_tradnl" w:eastAsia="en-US"/>
        </w:rPr>
        <w:t xml:space="preserve">SEGUNDO.- </w:t>
      </w:r>
      <w:r w:rsidRPr="00B40EF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La Sexagésima Séptima Legislatura del Honorable Congreso del Estado de Chihuahua, exhorta respetuosamente al Poder Ejecutivo del Estado, a través de la Secretaría de Hacienda, a efecto que en el proyecto 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t xml:space="preserve">de Presupuesto de Egresos para el Ejercicio Fiscal 2022, se considere una 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lastRenderedPageBreak/>
        <w:t>partida espec</w:t>
      </w:r>
      <w:r w:rsidRPr="00B40EFC">
        <w:rPr>
          <w:rFonts w:ascii="Century Gothic" w:eastAsia="AppleGothic" w:hAnsi="Century Gothic" w:cs="Cambria"/>
          <w:sz w:val="24"/>
          <w:szCs w:val="24"/>
          <w:lang w:val="es-ES_tradnl" w:eastAsia="en-US"/>
        </w:rPr>
        <w:t>í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t>fica para infraestructura tur</w:t>
      </w:r>
      <w:r w:rsidRPr="00B40EFC">
        <w:rPr>
          <w:rFonts w:ascii="Century Gothic" w:eastAsia="AppleGothic" w:hAnsi="Century Gothic" w:cs="Cambria"/>
          <w:sz w:val="24"/>
          <w:szCs w:val="24"/>
          <w:lang w:val="es-ES_tradnl" w:eastAsia="en-US"/>
        </w:rPr>
        <w:t>í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t>stica, capacitaci</w:t>
      </w:r>
      <w:r w:rsidRPr="00B40EFC">
        <w:rPr>
          <w:rFonts w:ascii="Century Gothic" w:eastAsia="AppleGothic" w:hAnsi="Century Gothic" w:cs="Cambria"/>
          <w:sz w:val="24"/>
          <w:szCs w:val="24"/>
          <w:lang w:val="es-ES_tradnl" w:eastAsia="en-US"/>
        </w:rPr>
        <w:t>ó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t>n, asesor</w:t>
      </w:r>
      <w:r w:rsidRPr="00B40EFC">
        <w:rPr>
          <w:rFonts w:ascii="Century Gothic" w:eastAsia="AppleGothic" w:hAnsi="Century Gothic" w:cs="Cambria"/>
          <w:sz w:val="24"/>
          <w:szCs w:val="24"/>
          <w:lang w:val="es-ES_tradnl" w:eastAsia="en-US"/>
        </w:rPr>
        <w:t>í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t>a t</w:t>
      </w:r>
      <w:r w:rsidRPr="00B40EFC">
        <w:rPr>
          <w:rFonts w:ascii="Century Gothic" w:eastAsia="AppleGothic" w:hAnsi="Century Gothic" w:cs="Cambria"/>
          <w:sz w:val="24"/>
          <w:szCs w:val="24"/>
          <w:lang w:val="es-ES_tradnl" w:eastAsia="en-US"/>
        </w:rPr>
        <w:t>é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t>cnica y promoci</w:t>
      </w:r>
      <w:r w:rsidRPr="00B40EFC">
        <w:rPr>
          <w:rFonts w:ascii="Century Gothic" w:eastAsia="AppleGothic" w:hAnsi="Century Gothic" w:cs="Cambria"/>
          <w:sz w:val="24"/>
          <w:szCs w:val="24"/>
          <w:lang w:val="es-ES_tradnl" w:eastAsia="en-US"/>
        </w:rPr>
        <w:t>ó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t>n de los Pueblos M</w:t>
      </w:r>
      <w:r w:rsidRPr="00B40EFC">
        <w:rPr>
          <w:rFonts w:ascii="Century Gothic" w:eastAsia="AppleGothic" w:hAnsi="Century Gothic" w:cs="Cambria"/>
          <w:sz w:val="24"/>
          <w:szCs w:val="24"/>
          <w:lang w:val="es-ES_tradnl" w:eastAsia="en-US"/>
        </w:rPr>
        <w:t>á</w:t>
      </w:r>
      <w:r w:rsidRPr="00B40EFC">
        <w:rPr>
          <w:rFonts w:ascii="Century Gothic" w:eastAsia="AppleGothic" w:hAnsi="Century Gothic" w:cs="Arial"/>
          <w:sz w:val="24"/>
          <w:szCs w:val="24"/>
          <w:lang w:val="es-ES_tradnl" w:eastAsia="en-US"/>
        </w:rPr>
        <w:t>gicos de Batopilas, Casas Grandes y Creel.</w:t>
      </w:r>
      <w:r w:rsidRPr="00B40EFC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</w:p>
    <w:p w:rsidR="00B40EFC" w:rsidRPr="00B40EFC" w:rsidRDefault="00B40EFC" w:rsidP="00B40EF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320378" w:rsidRPr="00B40EFC" w:rsidRDefault="004B5AE4" w:rsidP="00B40E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TERCERO.-</w:t>
      </w:r>
      <w:r w:rsidR="00320378" w:rsidRPr="004B5AE4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Remí</w:t>
      </w:r>
      <w:r w:rsidR="00320378" w:rsidRPr="00B40EFC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="00320378" w:rsidRPr="00B40EFC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="00320378" w:rsidRPr="00B40EFC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320378" w:rsidRPr="00B40EFC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las autoridades competentes, para los efectos a que haya lugar.</w:t>
      </w:r>
    </w:p>
    <w:p w:rsidR="000913BC" w:rsidRPr="00B40EFC" w:rsidRDefault="000913BC" w:rsidP="00B40EF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319BB" w:rsidRDefault="002319BB" w:rsidP="00B40EF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913BC">
        <w:rPr>
          <w:rFonts w:ascii="Century Gothic" w:hAnsi="Century Gothic"/>
          <w:szCs w:val="24"/>
        </w:rPr>
        <w:t>cinco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20378" w:rsidRDefault="00320378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6730E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4D" w:rsidRDefault="00AB024D">
      <w:r>
        <w:separator/>
      </w:r>
    </w:p>
  </w:endnote>
  <w:endnote w:type="continuationSeparator" w:id="0">
    <w:p w:rsidR="00AB024D" w:rsidRDefault="00A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730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4D" w:rsidRDefault="00AB024D">
      <w:r>
        <w:separator/>
      </w:r>
    </w:p>
  </w:footnote>
  <w:footnote w:type="continuationSeparator" w:id="0">
    <w:p w:rsidR="00AB024D" w:rsidRDefault="00AB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B570A8">
      <w:rPr>
        <w:rFonts w:ascii="Century Gothic" w:hAnsi="Century Gothic"/>
        <w:b/>
        <w:sz w:val="24"/>
        <w:szCs w:val="24"/>
        <w:lang w:val="en-US"/>
      </w:rPr>
      <w:t>3</w:t>
    </w:r>
    <w:r w:rsidR="00B40EFC">
      <w:rPr>
        <w:rFonts w:ascii="Century Gothic" w:hAnsi="Century Gothic"/>
        <w:b/>
        <w:sz w:val="24"/>
        <w:szCs w:val="24"/>
        <w:lang w:val="en-US"/>
      </w:rPr>
      <w:t>7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2651"/>
    <w:rsid w:val="0006448A"/>
    <w:rsid w:val="000644E9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5AE4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5E"/>
    <w:rsid w:val="006D758E"/>
    <w:rsid w:val="006E05B4"/>
    <w:rsid w:val="006E147E"/>
    <w:rsid w:val="006E272E"/>
    <w:rsid w:val="006F005D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137C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19C1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0612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024D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947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30E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27A4"/>
    <w:rsid w:val="00DB2C24"/>
    <w:rsid w:val="00DB548E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0A78-040C-4855-B4F1-3E418AA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142</cp:revision>
  <cp:lastPrinted>2021-10-06T16:55:00Z</cp:lastPrinted>
  <dcterms:created xsi:type="dcterms:W3CDTF">2018-08-29T18:38:00Z</dcterms:created>
  <dcterms:modified xsi:type="dcterms:W3CDTF">2021-10-06T16:55:00Z</dcterms:modified>
</cp:coreProperties>
</file>