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0D25" w14:textId="77777777" w:rsidR="00527866" w:rsidRDefault="00527866" w:rsidP="00527866">
      <w:pPr>
        <w:pStyle w:val="Sinespaciado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962D7">
        <w:rPr>
          <w:rFonts w:ascii="Century Gothic" w:hAnsi="Century Gothic" w:cs="Arial"/>
          <w:b/>
          <w:sz w:val="24"/>
          <w:szCs w:val="24"/>
        </w:rPr>
        <w:t>ANEXO DE LA LEY DE INGRESOS CORRESPOND</w:t>
      </w:r>
      <w:r>
        <w:rPr>
          <w:rFonts w:ascii="Century Gothic" w:hAnsi="Century Gothic" w:cs="Arial"/>
          <w:b/>
          <w:sz w:val="24"/>
          <w:szCs w:val="24"/>
        </w:rPr>
        <w:t>IENTES AL MUNICIPIO DE BACHÍNIVA 2023</w:t>
      </w:r>
    </w:p>
    <w:p w14:paraId="08C615BE" w14:textId="77777777" w:rsidR="00527866" w:rsidRPr="00D962D7" w:rsidRDefault="00527866" w:rsidP="00527866">
      <w:pPr>
        <w:pStyle w:val="Sinespaciado"/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23CD093" w14:textId="77777777" w:rsidR="00527866" w:rsidRDefault="00527866" w:rsidP="00527866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15025">
        <w:rPr>
          <w:rFonts w:ascii="Century Gothic" w:hAnsi="Century Gothic" w:cs="Arial"/>
          <w:sz w:val="24"/>
          <w:szCs w:val="24"/>
        </w:rPr>
        <w:t xml:space="preserve">En los términos de los Artículos 115, fracción IV, inciso c) último párrafo de la Constitución Pública de los Estados unidos </w:t>
      </w:r>
      <w:proofErr w:type="gramStart"/>
      <w:r w:rsidRPr="00215025">
        <w:rPr>
          <w:rFonts w:ascii="Century Gothic" w:hAnsi="Century Gothic" w:cs="Arial"/>
          <w:sz w:val="24"/>
          <w:szCs w:val="24"/>
        </w:rPr>
        <w:t>Mexicanos</w:t>
      </w:r>
      <w:proofErr w:type="gramEnd"/>
      <w:r w:rsidRPr="00215025">
        <w:rPr>
          <w:rFonts w:ascii="Century Gothic" w:hAnsi="Century Gothic" w:cs="Arial"/>
          <w:sz w:val="24"/>
          <w:szCs w:val="24"/>
        </w:rPr>
        <w:t>; 132 de la Constitución Política del Estado de Chihuahua, y 28 fracción XII del Código municipal de la Entidad, el H. congreso del Estado aprueba el monto estimado de ingresos que per</w:t>
      </w:r>
      <w:r>
        <w:rPr>
          <w:rFonts w:ascii="Century Gothic" w:hAnsi="Century Gothic" w:cs="Arial"/>
          <w:sz w:val="24"/>
          <w:szCs w:val="24"/>
        </w:rPr>
        <w:t>cibirá el municipio de Bachíniva,</w:t>
      </w:r>
      <w:r w:rsidRPr="00215025">
        <w:rPr>
          <w:rFonts w:ascii="Century Gothic" w:hAnsi="Century Gothic" w:cs="Arial"/>
          <w:sz w:val="24"/>
          <w:szCs w:val="24"/>
        </w:rPr>
        <w:t xml:space="preserve"> durante el ejercicio Fiscal del año 202</w:t>
      </w:r>
      <w:r>
        <w:rPr>
          <w:rFonts w:ascii="Century Gothic" w:hAnsi="Century Gothic" w:cs="Arial"/>
          <w:sz w:val="24"/>
          <w:szCs w:val="24"/>
        </w:rPr>
        <w:t>3</w:t>
      </w:r>
      <w:r w:rsidRPr="00215025">
        <w:rPr>
          <w:rFonts w:ascii="Century Gothic" w:hAnsi="Century Gothic" w:cs="Arial"/>
          <w:sz w:val="24"/>
          <w:szCs w:val="24"/>
        </w:rPr>
        <w:t>.</w:t>
      </w:r>
    </w:p>
    <w:p w14:paraId="621A53DE" w14:textId="77777777" w:rsidR="00527866" w:rsidRPr="00703EB2" w:rsidRDefault="00527866" w:rsidP="00527866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922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1984"/>
        <w:gridCol w:w="2410"/>
      </w:tblGrid>
      <w:tr w:rsidR="00527866" w:rsidRPr="00703EB2" w14:paraId="4BF0EBAB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5BE5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>INGRESOS PROPIOS: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176A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u w:val="single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254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02894B8B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E013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Impuestos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3AC2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1,249,121.00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CFB6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2BB4F8BC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D67B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Contribuciones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155C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1,170,846.00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51BF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57AE0699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0F3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Derechos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0D27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 378,136.00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409A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2FBBCD54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452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Productos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AC29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 305,384.00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69BA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2191514B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D14D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Aprovechamientos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633E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 290,932.00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2D6B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4D9E928E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618B" w14:textId="77777777" w:rsidR="00527866" w:rsidRPr="00703EB2" w:rsidRDefault="00527866" w:rsidP="00D766B2">
            <w:pPr>
              <w:spacing w:line="360" w:lineRule="auto"/>
              <w:ind w:firstLineChars="400" w:firstLine="803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proofErr w:type="gramStart"/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>Total</w:t>
            </w:r>
            <w:proofErr w:type="gramEnd"/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 xml:space="preserve"> Ingresos Propios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ED49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D08D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 xml:space="preserve">            3,394,419.00 </w:t>
            </w:r>
          </w:p>
        </w:tc>
      </w:tr>
      <w:tr w:rsidR="00527866" w:rsidRPr="00703EB2" w14:paraId="498B67A9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98D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E980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C730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50EF7D45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9577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>PARTICIPACIONES: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C41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1208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6B57302C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9B08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Fondo General de Participaciones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904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20,233,471.52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E063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0CBA1F6D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02A5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Fondo de Fomento Municipal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34C1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AE85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74B0BD63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5CDB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Fondo de Fomento Municipal 70%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299B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3,657,112.98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F64C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0BD200A2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81DD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Fondo de Fomento Municipal 30%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E1B7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E891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67044285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075E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Sobre Tenencia y Uso de Vehículos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63AF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        381.79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15CE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3EF22AEB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8DB7C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Impuestos sobre Producción y Servicios en materia de cervezas, bebidas alcohólicas y tabacos labrados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DE7E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 561,647.50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5553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1B74C2B3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413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Participaciones Adicionales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6A6A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325C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748F385E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73F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Impuestos Sobre Autos Nuevos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DAE5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 485,857.92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6952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3C173BF5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563A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Cuotas de Gasolina y Diesel 70%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AE15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 162,968.32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529E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34BE3FB4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78F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Cuotas de Gasolina y Diesel 30%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E5D2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   69,843.56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8034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7F6670AA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BD0D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Fondo de Fiscalización (FOFIR)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B56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1,262,876.60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D441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19AAEE99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2CA9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Fondo de ISR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F75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1,117,672.49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E0F5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5BF099F8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405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lastRenderedPageBreak/>
              <w:t>ISR Bienes Inmuebles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B5C0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 133,558.64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49BD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55F78E55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5C8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FODESEM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8B4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3,921,994.78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536E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2D08D9AF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7F6" w14:textId="77777777" w:rsidR="00527866" w:rsidRPr="00703EB2" w:rsidRDefault="00527866" w:rsidP="00D766B2">
            <w:pPr>
              <w:spacing w:line="360" w:lineRule="auto"/>
              <w:ind w:firstLineChars="400" w:firstLine="803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proofErr w:type="gramStart"/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>Total</w:t>
            </w:r>
            <w:proofErr w:type="gramEnd"/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 xml:space="preserve"> de Participaciones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D1D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8CF1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 xml:space="preserve">          31,607,386.10 </w:t>
            </w:r>
          </w:p>
        </w:tc>
      </w:tr>
      <w:tr w:rsidR="00527866" w:rsidRPr="00703EB2" w14:paraId="1CDCCA56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A23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1935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CD97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4B337D55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CB9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>FONDO DE APORTACIONES: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F9FD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b/>
                <w:bCs/>
                <w:color w:val="000000"/>
                <w:u w:val="single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1E27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4130B6F8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0471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FISM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1F5F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6,986,980.00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3B74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77417DA7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1C2B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FAFM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4974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5,154,486.25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CAF1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 xml:space="preserve">            12,141,466.25 </w:t>
            </w:r>
          </w:p>
        </w:tc>
      </w:tr>
      <w:tr w:rsidR="00527866" w:rsidRPr="00703EB2" w14:paraId="6AC987B6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468" w14:textId="77777777" w:rsidR="00527866" w:rsidRPr="00703EB2" w:rsidRDefault="00527866" w:rsidP="00D766B2">
            <w:pPr>
              <w:spacing w:line="360" w:lineRule="auto"/>
              <w:ind w:firstLineChars="400" w:firstLine="803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proofErr w:type="gramStart"/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>Total</w:t>
            </w:r>
            <w:proofErr w:type="gramEnd"/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 xml:space="preserve"> de Aportaciones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C39E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7C6F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472052C6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45B4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FC82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D333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s-MX"/>
              </w:rPr>
            </w:pPr>
          </w:p>
        </w:tc>
      </w:tr>
      <w:tr w:rsidR="00527866" w:rsidRPr="00703EB2" w14:paraId="7F65C440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4A86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>Ingresos derivados de Financiamientos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D34B" w14:textId="77777777" w:rsidR="00527866" w:rsidRPr="00703EB2" w:rsidRDefault="00527866" w:rsidP="00D766B2">
            <w:pPr>
              <w:spacing w:line="360" w:lineRule="auto"/>
              <w:jc w:val="right"/>
              <w:rPr>
                <w:rFonts w:ascii="Century Gothic" w:hAnsi="Century Gothic"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color w:val="000000"/>
                <w:lang w:eastAsia="es-MX"/>
              </w:rPr>
              <w:t xml:space="preserve">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AB34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 xml:space="preserve">                             -   </w:t>
            </w:r>
          </w:p>
        </w:tc>
      </w:tr>
      <w:tr w:rsidR="00527866" w:rsidRPr="00703EB2" w14:paraId="0DB884B7" w14:textId="77777777" w:rsidTr="00D766B2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CDB2" w14:textId="77777777" w:rsidR="00527866" w:rsidRPr="00703EB2" w:rsidRDefault="00527866" w:rsidP="00D766B2">
            <w:pPr>
              <w:spacing w:line="360" w:lineRule="auto"/>
              <w:ind w:firstLineChars="400" w:firstLine="803"/>
              <w:jc w:val="right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2F02" w14:textId="77777777" w:rsidR="00527866" w:rsidRPr="00703EB2" w:rsidRDefault="00527866" w:rsidP="00D766B2">
            <w:pPr>
              <w:spacing w:line="360" w:lineRule="auto"/>
              <w:rPr>
                <w:rFonts w:ascii="Century Gothic" w:hAnsi="Century Gothic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E379F" w14:textId="77777777" w:rsidR="00527866" w:rsidRPr="00703EB2" w:rsidRDefault="00527866" w:rsidP="00D766B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  <w:lang w:eastAsia="es-MX"/>
              </w:rPr>
            </w:pPr>
            <w:r w:rsidRPr="00703EB2">
              <w:rPr>
                <w:rFonts w:ascii="Century Gothic" w:hAnsi="Century Gothic"/>
                <w:b/>
                <w:bCs/>
                <w:color w:val="000000"/>
                <w:lang w:eastAsia="es-MX"/>
              </w:rPr>
              <w:t xml:space="preserve">          47,143,271.35 </w:t>
            </w:r>
          </w:p>
        </w:tc>
      </w:tr>
    </w:tbl>
    <w:p w14:paraId="7AC80B90" w14:textId="77777777" w:rsidR="00527866" w:rsidRPr="00703EB2" w:rsidRDefault="00527866" w:rsidP="00527866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7709529" w14:textId="77777777" w:rsidR="00527866" w:rsidRPr="00703EB2" w:rsidRDefault="00527866" w:rsidP="00527866">
      <w:pPr>
        <w:spacing w:line="360" w:lineRule="auto"/>
        <w:jc w:val="both"/>
        <w:rPr>
          <w:rFonts w:ascii="Century Gothic" w:hAnsi="Century Gothic"/>
          <w:b/>
          <w:color w:val="FF0000"/>
          <w:sz w:val="24"/>
          <w:szCs w:val="24"/>
          <w:lang w:val="es-MX"/>
        </w:rPr>
      </w:pPr>
    </w:p>
    <w:p w14:paraId="65173DDA" w14:textId="77777777" w:rsidR="00527866" w:rsidRDefault="00527866" w:rsidP="00527866">
      <w:pPr>
        <w:spacing w:line="360" w:lineRule="auto"/>
        <w:jc w:val="both"/>
        <w:rPr>
          <w:rFonts w:ascii="Century Gothic" w:hAnsi="Century Gothic"/>
          <w:b/>
          <w:color w:val="FF0000"/>
          <w:sz w:val="24"/>
          <w:szCs w:val="24"/>
          <w:lang w:val="es-MX"/>
        </w:rPr>
      </w:pPr>
    </w:p>
    <w:p w14:paraId="47ACCCFB" w14:textId="77777777" w:rsidR="00527866" w:rsidRPr="00703EB2" w:rsidRDefault="00527866" w:rsidP="00527866">
      <w:pPr>
        <w:spacing w:line="360" w:lineRule="auto"/>
        <w:jc w:val="both"/>
        <w:rPr>
          <w:rFonts w:ascii="Century Gothic" w:hAnsi="Century Gothic"/>
          <w:b/>
          <w:color w:val="FF0000"/>
          <w:sz w:val="24"/>
          <w:szCs w:val="24"/>
          <w:lang w:val="es-MX"/>
        </w:rPr>
      </w:pPr>
    </w:p>
    <w:p w14:paraId="787B40A0" w14:textId="77777777" w:rsidR="002E3254" w:rsidRDefault="002E3254"/>
    <w:sectPr w:rsidR="002E3254" w:rsidSect="00E47D37">
      <w:headerReference w:type="default" r:id="rId6"/>
      <w:footerReference w:type="even" r:id="rId7"/>
      <w:footerReference w:type="default" r:id="rId8"/>
      <w:footerReference w:type="first" r:id="rId9"/>
      <w:pgSz w:w="12240" w:h="15840" w:code="1"/>
      <w:pgMar w:top="1418" w:right="1701" w:bottom="1418" w:left="1701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BDEB" w14:textId="77777777" w:rsidR="00AE4FFB" w:rsidRDefault="00AE4FFB">
      <w:r>
        <w:separator/>
      </w:r>
    </w:p>
  </w:endnote>
  <w:endnote w:type="continuationSeparator" w:id="0">
    <w:p w14:paraId="30572877" w14:textId="77777777" w:rsidR="00AE4FFB" w:rsidRDefault="00A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9FB2" w14:textId="77777777" w:rsidR="003301E2" w:rsidRDefault="00527866" w:rsidP="005718A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03E56FE" w14:textId="77777777" w:rsidR="003301E2" w:rsidRDefault="00AE4F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F47B" w14:textId="77777777" w:rsidR="003301E2" w:rsidRDefault="0052786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61</w:t>
    </w:r>
    <w:r>
      <w:fldChar w:fldCharType="end"/>
    </w:r>
  </w:p>
  <w:p w14:paraId="13CCD79F" w14:textId="77777777" w:rsidR="003301E2" w:rsidRDefault="00AE4F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898" w14:textId="77777777" w:rsidR="003301E2" w:rsidRDefault="0052786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43D21A5" w14:textId="77777777" w:rsidR="003301E2" w:rsidRDefault="00AE4F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C061" w14:textId="77777777" w:rsidR="00AE4FFB" w:rsidRDefault="00AE4FFB">
      <w:r>
        <w:separator/>
      </w:r>
    </w:p>
  </w:footnote>
  <w:footnote w:type="continuationSeparator" w:id="0">
    <w:p w14:paraId="1AE1234D" w14:textId="77777777" w:rsidR="00AE4FFB" w:rsidRDefault="00AE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0D84" w14:textId="09658443" w:rsidR="00D71F16" w:rsidRPr="00D71F16" w:rsidRDefault="003A02F1">
    <w:pPr>
      <w:pStyle w:val="Encabezado"/>
      <w:rPr>
        <w:lang w:val="es-MX"/>
      </w:rPr>
    </w:pPr>
    <w:r>
      <w:rPr>
        <w:lang w:val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66"/>
    <w:rsid w:val="002E3254"/>
    <w:rsid w:val="003A02F1"/>
    <w:rsid w:val="00527866"/>
    <w:rsid w:val="00AE4FFB"/>
    <w:rsid w:val="00E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4B93"/>
  <w15:chartTrackingRefBased/>
  <w15:docId w15:val="{40B0A2FB-1CAA-4F29-859C-A7FD795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278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278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27866"/>
  </w:style>
  <w:style w:type="paragraph" w:styleId="Piedepgina">
    <w:name w:val="footer"/>
    <w:basedOn w:val="Normal"/>
    <w:link w:val="PiedepginaCar"/>
    <w:uiPriority w:val="99"/>
    <w:rsid w:val="00527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5278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Maria Gonzalez Ramos</dc:creator>
  <cp:keywords/>
  <dc:description/>
  <cp:lastModifiedBy>Sonia Pérez Chacón</cp:lastModifiedBy>
  <cp:revision>3</cp:revision>
  <cp:lastPrinted>2022-12-23T21:52:00Z</cp:lastPrinted>
  <dcterms:created xsi:type="dcterms:W3CDTF">2022-12-23T19:16:00Z</dcterms:created>
  <dcterms:modified xsi:type="dcterms:W3CDTF">2022-12-23T21:54:00Z</dcterms:modified>
</cp:coreProperties>
</file>