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39CE54CE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B1DCE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AD17BD">
        <w:rPr>
          <w:rFonts w:ascii="Century Gothic" w:hAnsi="Century Gothic"/>
          <w:b/>
          <w:sz w:val="25"/>
          <w:szCs w:val="25"/>
          <w:lang w:val="es-MX"/>
        </w:rPr>
        <w:t>10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2F2DC6" w:rsidRDefault="009B7F9A" w:rsidP="00DB27A4">
      <w:pPr>
        <w:pStyle w:val="Textoindependiente3"/>
        <w:rPr>
          <w:rFonts w:ascii="Century Gothic" w:hAnsi="Century Gothic"/>
          <w:sz w:val="4"/>
          <w:szCs w:val="2"/>
        </w:rPr>
      </w:pPr>
    </w:p>
    <w:p w14:paraId="7A315772" w14:textId="77777777" w:rsidR="00835A33" w:rsidRPr="0063571C" w:rsidRDefault="00835A33" w:rsidP="00DB27A4">
      <w:pPr>
        <w:pStyle w:val="Textoindependiente3"/>
        <w:rPr>
          <w:rFonts w:ascii="Century Gothic" w:hAnsi="Century Gothic"/>
          <w:sz w:val="12"/>
          <w:szCs w:val="6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38A2AC0" w14:textId="77777777" w:rsidR="00054F47" w:rsidRPr="0063571C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2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5696CF15" w14:textId="77777777" w:rsidR="00EC6312" w:rsidRPr="002F2DC6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3FDF43B7" w14:textId="0672F7F5" w:rsidR="0063571C" w:rsidRPr="00C37D2B" w:rsidRDefault="0063571C" w:rsidP="0063571C">
      <w:pPr>
        <w:spacing w:line="360" w:lineRule="auto"/>
        <w:ind w:right="23"/>
        <w:jc w:val="both"/>
        <w:rPr>
          <w:rFonts w:ascii="Century Gothic" w:hAnsi="Century Gothic" w:cs="Tahoma"/>
          <w:sz w:val="24"/>
          <w:szCs w:val="24"/>
        </w:rPr>
      </w:pPr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ARTÍCULO </w:t>
      </w:r>
      <w:proofErr w:type="gramStart"/>
      <w:r w:rsidRPr="00B81843">
        <w:rPr>
          <w:rFonts w:ascii="Century Gothic" w:hAnsi="Century Gothic" w:cs="Century Gothic"/>
          <w:b/>
          <w:bCs/>
          <w:sz w:val="28"/>
          <w:szCs w:val="28"/>
        </w:rPr>
        <w:t>ÚNICO.-</w:t>
      </w:r>
      <w:proofErr w:type="gramEnd"/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AA1FE8">
        <w:rPr>
          <w:rFonts w:ascii="Century Gothic" w:hAnsi="Century Gothic" w:cs="Century Gothic"/>
          <w:sz w:val="24"/>
          <w:szCs w:val="24"/>
        </w:rPr>
        <w:t xml:space="preserve">Se </w:t>
      </w:r>
      <w:r>
        <w:rPr>
          <w:rFonts w:ascii="Century Gothic" w:hAnsi="Century Gothic" w:cs="Century Gothic"/>
          <w:sz w:val="24"/>
          <w:szCs w:val="24"/>
        </w:rPr>
        <w:t>nombra</w:t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D623B2">
        <w:rPr>
          <w:rFonts w:ascii="Century Gothic" w:hAnsi="Century Gothic" w:cs="Century Gothic"/>
          <w:bCs/>
          <w:sz w:val="24"/>
          <w:szCs w:val="24"/>
        </w:rPr>
        <w:t>al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C. </w:t>
      </w:r>
      <w:r w:rsidRPr="0063571C">
        <w:rPr>
          <w:rFonts w:ascii="Century Gothic" w:hAnsi="Century Gothic" w:cs="Century Gothic"/>
          <w:b/>
          <w:sz w:val="24"/>
          <w:szCs w:val="24"/>
        </w:rPr>
        <w:t>M</w:t>
      </w:r>
      <w:r>
        <w:rPr>
          <w:rFonts w:ascii="Century Gothic" w:hAnsi="Century Gothic" w:cs="Century Gothic"/>
          <w:b/>
          <w:sz w:val="24"/>
          <w:szCs w:val="24"/>
        </w:rPr>
        <w:t>tro</w:t>
      </w:r>
      <w:r w:rsidR="009658D5">
        <w:rPr>
          <w:rFonts w:ascii="Century Gothic" w:hAnsi="Century Gothic" w:cs="Century Gothic"/>
          <w:b/>
          <w:sz w:val="24"/>
          <w:szCs w:val="24"/>
        </w:rPr>
        <w:t>.</w:t>
      </w:r>
      <w:r w:rsidRPr="0063571C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9658D5">
        <w:rPr>
          <w:rFonts w:ascii="Century Gothic" w:hAnsi="Century Gothic" w:cs="Century Gothic"/>
          <w:b/>
          <w:sz w:val="24"/>
          <w:szCs w:val="24"/>
        </w:rPr>
        <w:t>Ó</w:t>
      </w:r>
      <w:r w:rsidRPr="0063571C">
        <w:rPr>
          <w:rFonts w:ascii="Century Gothic" w:hAnsi="Century Gothic" w:cs="Century Gothic"/>
          <w:b/>
          <w:sz w:val="24"/>
          <w:szCs w:val="24"/>
        </w:rPr>
        <w:t>scar Iván Díaz Saucedo</w:t>
      </w:r>
      <w:r w:rsidRPr="00CE06CA">
        <w:rPr>
          <w:rFonts w:ascii="Century Gothic" w:hAnsi="Century Gothic" w:cs="Century Gothic"/>
          <w:b/>
          <w:sz w:val="24"/>
          <w:szCs w:val="24"/>
        </w:rPr>
        <w:t>,</w:t>
      </w:r>
      <w:r>
        <w:rPr>
          <w:rFonts w:ascii="Century Gothic" w:hAnsi="Century Gothic" w:cs="Century Gothic"/>
          <w:b/>
          <w:sz w:val="24"/>
          <w:szCs w:val="24"/>
        </w:rPr>
        <w:t xml:space="preserve"> como titular de la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sz w:val="24"/>
          <w:szCs w:val="24"/>
        </w:rPr>
        <w:t>Secretaría</w:t>
      </w:r>
      <w:r w:rsidRPr="005F34F7">
        <w:rPr>
          <w:rFonts w:ascii="Century Gothic" w:hAnsi="Century Gothic" w:cs="Century Gothic"/>
          <w:b/>
          <w:sz w:val="24"/>
          <w:szCs w:val="24"/>
        </w:rPr>
        <w:t xml:space="preserve"> de </w:t>
      </w:r>
      <w:r>
        <w:rPr>
          <w:rFonts w:ascii="Century Gothic" w:hAnsi="Century Gothic" w:cs="Century Gothic"/>
          <w:b/>
          <w:sz w:val="24"/>
          <w:szCs w:val="24"/>
        </w:rPr>
        <w:t>Asuntos Legislativos</w:t>
      </w:r>
      <w:r w:rsidRPr="00B52378">
        <w:rPr>
          <w:rFonts w:ascii="Century Gothic" w:hAnsi="Century Gothic" w:cs="Century Gothic"/>
          <w:b/>
          <w:sz w:val="24"/>
          <w:szCs w:val="24"/>
        </w:rPr>
        <w:t xml:space="preserve"> y Jurídicos </w:t>
      </w:r>
      <w:r w:rsidRPr="00230C92">
        <w:rPr>
          <w:rFonts w:ascii="Century Gothic" w:hAnsi="Century Gothic" w:cs="Century Gothic"/>
          <w:b/>
          <w:sz w:val="24"/>
          <w:szCs w:val="24"/>
        </w:rPr>
        <w:t>del H. Congreso del Estado</w:t>
      </w:r>
      <w:r w:rsidR="009658D5">
        <w:rPr>
          <w:rFonts w:ascii="Century Gothic" w:hAnsi="Century Gothic" w:cs="Century Gothic"/>
          <w:b/>
          <w:sz w:val="24"/>
          <w:szCs w:val="24"/>
        </w:rPr>
        <w:t xml:space="preserve"> de Chihuahua</w:t>
      </w:r>
      <w:r w:rsidRPr="00230C92">
        <w:rPr>
          <w:rFonts w:ascii="Century Gothic" w:hAnsi="Century Gothic" w:cs="Century Gothic"/>
          <w:b/>
          <w:sz w:val="24"/>
          <w:szCs w:val="24"/>
        </w:rPr>
        <w:t>,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>de conformidad con lo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 xml:space="preserve">dispuesto por los artículos </w:t>
      </w:r>
      <w:r>
        <w:rPr>
          <w:rFonts w:ascii="Century Gothic" w:hAnsi="Century Gothic" w:cs="Century Gothic"/>
          <w:sz w:val="24"/>
          <w:szCs w:val="24"/>
        </w:rPr>
        <w:t xml:space="preserve">66, fracción X; </w:t>
      </w:r>
      <w:r w:rsidRPr="00C37D2B">
        <w:rPr>
          <w:rFonts w:ascii="Century Gothic" w:hAnsi="Century Gothic" w:cs="Century Gothic"/>
          <w:sz w:val="24"/>
          <w:szCs w:val="24"/>
        </w:rPr>
        <w:t>124</w:t>
      </w:r>
      <w:r>
        <w:rPr>
          <w:rFonts w:ascii="Century Gothic" w:hAnsi="Century Gothic" w:cs="Century Gothic"/>
          <w:sz w:val="24"/>
          <w:szCs w:val="24"/>
        </w:rPr>
        <w:t>,</w:t>
      </w:r>
      <w:r w:rsidR="009658D5">
        <w:rPr>
          <w:rFonts w:ascii="Century Gothic" w:hAnsi="Century Gothic" w:cs="Century Gothic"/>
          <w:sz w:val="24"/>
          <w:szCs w:val="24"/>
        </w:rPr>
        <w:t xml:space="preserve"> fracción II;</w:t>
      </w:r>
      <w:r w:rsidRPr="00C37D2B">
        <w:rPr>
          <w:rFonts w:ascii="Century Gothic" w:hAnsi="Century Gothic" w:cs="Century Gothic"/>
          <w:sz w:val="24"/>
          <w:szCs w:val="24"/>
        </w:rPr>
        <w:t xml:space="preserve"> 125</w:t>
      </w:r>
      <w:r>
        <w:rPr>
          <w:rFonts w:ascii="Century Gothic" w:hAnsi="Century Gothic" w:cs="Century Gothic"/>
          <w:sz w:val="24"/>
          <w:szCs w:val="24"/>
        </w:rPr>
        <w:t>, 126, 128, 204 y 205</w:t>
      </w:r>
      <w:r w:rsidRPr="00C37D2B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Tahoma"/>
          <w:sz w:val="24"/>
          <w:szCs w:val="24"/>
        </w:rPr>
        <w:t>de la Ley Orgánica</w:t>
      </w:r>
      <w:r>
        <w:rPr>
          <w:rFonts w:ascii="Century Gothic" w:hAnsi="Century Gothic" w:cs="Tahoma"/>
          <w:sz w:val="24"/>
          <w:szCs w:val="24"/>
        </w:rPr>
        <w:t>;</w:t>
      </w:r>
      <w:r w:rsidRPr="00C37D2B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y 136 del Reglamento Interior y de Prácticas Parlamentarias, ambos ordenamientos del Poder Legislativo </w:t>
      </w:r>
      <w:r w:rsidRPr="00C37D2B">
        <w:rPr>
          <w:rFonts w:ascii="Century Gothic" w:hAnsi="Century Gothic" w:cs="Tahoma"/>
          <w:sz w:val="24"/>
          <w:szCs w:val="24"/>
        </w:rPr>
        <w:t>del Estado</w:t>
      </w:r>
      <w:r>
        <w:rPr>
          <w:rFonts w:ascii="Century Gothic" w:hAnsi="Century Gothic" w:cs="Tahoma"/>
          <w:sz w:val="24"/>
          <w:szCs w:val="24"/>
        </w:rPr>
        <w:t xml:space="preserve"> de Chihuahua</w:t>
      </w:r>
      <w:r w:rsidRPr="00C37D2B">
        <w:rPr>
          <w:rFonts w:ascii="Century Gothic" w:hAnsi="Century Gothic" w:cs="Tahoma"/>
          <w:sz w:val="24"/>
          <w:szCs w:val="24"/>
        </w:rPr>
        <w:t>.</w:t>
      </w:r>
    </w:p>
    <w:p w14:paraId="73358AF6" w14:textId="77777777" w:rsidR="0063571C" w:rsidRPr="004C668A" w:rsidRDefault="0063571C" w:rsidP="0063571C">
      <w:pPr>
        <w:widowControl w:val="0"/>
        <w:autoSpaceDE w:val="0"/>
        <w:autoSpaceDN w:val="0"/>
        <w:adjustRightInd w:val="0"/>
        <w:spacing w:line="360" w:lineRule="auto"/>
        <w:ind w:right="23"/>
        <w:rPr>
          <w:rFonts w:ascii="Century Gothic" w:hAnsi="Century Gothic" w:cs="Century Gothic"/>
          <w:sz w:val="12"/>
          <w:szCs w:val="12"/>
        </w:rPr>
      </w:pPr>
    </w:p>
    <w:p w14:paraId="6820E425" w14:textId="77777777" w:rsidR="0063571C" w:rsidRPr="00633F5F" w:rsidRDefault="0063571C" w:rsidP="0063571C">
      <w:pPr>
        <w:widowControl w:val="0"/>
        <w:autoSpaceDE w:val="0"/>
        <w:autoSpaceDN w:val="0"/>
        <w:adjustRightInd w:val="0"/>
        <w:spacing w:line="360" w:lineRule="auto"/>
        <w:ind w:right="23"/>
        <w:jc w:val="center"/>
        <w:rPr>
          <w:rFonts w:ascii="Century Gothic" w:hAnsi="Century Gothic" w:cs="Century Gothic"/>
          <w:sz w:val="28"/>
          <w:szCs w:val="28"/>
          <w:lang w:val="en-US"/>
        </w:rPr>
      </w:pPr>
      <w:r w:rsidRPr="00633F5F">
        <w:rPr>
          <w:rFonts w:ascii="Century Gothic" w:hAnsi="Century Gothic" w:cs="Century Gothic"/>
          <w:b/>
          <w:bCs/>
          <w:sz w:val="28"/>
          <w:szCs w:val="28"/>
          <w:lang w:val="en-US"/>
        </w:rPr>
        <w:t>T R A N S I T O R I O S</w:t>
      </w:r>
    </w:p>
    <w:p w14:paraId="50DD451E" w14:textId="77777777" w:rsidR="0063571C" w:rsidRPr="0063571C" w:rsidRDefault="0063571C" w:rsidP="0063571C">
      <w:pPr>
        <w:widowControl w:val="0"/>
        <w:autoSpaceDE w:val="0"/>
        <w:autoSpaceDN w:val="0"/>
        <w:adjustRightInd w:val="0"/>
        <w:spacing w:line="360" w:lineRule="auto"/>
        <w:ind w:right="23"/>
        <w:rPr>
          <w:rFonts w:ascii="Century Gothic" w:hAnsi="Century Gothic" w:cs="Century Gothic"/>
          <w:sz w:val="10"/>
          <w:szCs w:val="10"/>
          <w:lang w:val="en-US"/>
        </w:rPr>
      </w:pPr>
    </w:p>
    <w:p w14:paraId="53B17C65" w14:textId="5EBEAC89" w:rsidR="0063571C" w:rsidRPr="00B81843" w:rsidRDefault="0063571C" w:rsidP="0063571C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PRIMERO.-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 </w:t>
      </w:r>
      <w:r w:rsidRPr="00B81843">
        <w:rPr>
          <w:rFonts w:ascii="Century Gothic" w:hAnsi="Century Gothic" w:cs="Century Gothic"/>
          <w:sz w:val="24"/>
          <w:szCs w:val="24"/>
        </w:rPr>
        <w:t xml:space="preserve">El presente Decreto entrará </w:t>
      </w:r>
      <w:r>
        <w:rPr>
          <w:rFonts w:ascii="Century Gothic" w:hAnsi="Century Gothic" w:cs="Century Gothic"/>
          <w:sz w:val="24"/>
          <w:szCs w:val="24"/>
        </w:rPr>
        <w:t xml:space="preserve">en vigor </w:t>
      </w:r>
      <w:r w:rsidR="009658D5">
        <w:rPr>
          <w:rFonts w:ascii="Century Gothic" w:hAnsi="Century Gothic" w:cs="Century Gothic"/>
          <w:sz w:val="24"/>
          <w:szCs w:val="24"/>
        </w:rPr>
        <w:t>al momento</w:t>
      </w:r>
      <w:r>
        <w:rPr>
          <w:rFonts w:ascii="Century Gothic" w:hAnsi="Century Gothic" w:cs="Century Gothic"/>
          <w:sz w:val="24"/>
          <w:szCs w:val="24"/>
        </w:rPr>
        <w:t xml:space="preserve"> de su aprobación.</w:t>
      </w:r>
    </w:p>
    <w:p w14:paraId="5AFE0921" w14:textId="77777777" w:rsidR="0063571C" w:rsidRPr="0063571C" w:rsidRDefault="0063571C" w:rsidP="0063571C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b/>
          <w:bCs/>
          <w:sz w:val="14"/>
          <w:szCs w:val="14"/>
          <w:lang w:val="es-MX"/>
        </w:rPr>
      </w:pPr>
    </w:p>
    <w:p w14:paraId="5EB11A0B" w14:textId="77777777" w:rsidR="0063571C" w:rsidRDefault="0063571C" w:rsidP="0063571C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SEGUNDO</w:t>
      </w:r>
      <w:r w:rsidRPr="00C37D2B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C37D2B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BC2F25">
        <w:rPr>
          <w:rFonts w:ascii="Century Gothic" w:hAnsi="Century Gothic" w:cs="Century Gothic"/>
          <w:bCs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ublíquese</w:t>
      </w:r>
      <w:r w:rsidRPr="00B81843">
        <w:rPr>
          <w:rFonts w:ascii="Century Gothic" w:hAnsi="Century Gothic" w:cs="Century Gothic"/>
          <w:sz w:val="24"/>
          <w:szCs w:val="24"/>
        </w:rPr>
        <w:t xml:space="preserve"> en el Periódico Oficial de</w:t>
      </w:r>
      <w:r>
        <w:rPr>
          <w:rFonts w:ascii="Century Gothic" w:hAnsi="Century Gothic" w:cs="Century Gothic"/>
          <w:sz w:val="24"/>
          <w:szCs w:val="24"/>
        </w:rPr>
        <w:t>l</w:t>
      </w:r>
      <w:r w:rsidRPr="00B81843">
        <w:rPr>
          <w:rFonts w:ascii="Century Gothic" w:hAnsi="Century Gothic" w:cs="Century Gothic"/>
          <w:sz w:val="24"/>
          <w:szCs w:val="24"/>
        </w:rPr>
        <w:t xml:space="preserve"> Estado.</w:t>
      </w:r>
    </w:p>
    <w:p w14:paraId="702BBAE6" w14:textId="77777777" w:rsidR="002F2DC6" w:rsidRPr="0063571C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14"/>
          <w:szCs w:val="14"/>
        </w:rPr>
      </w:pPr>
    </w:p>
    <w:p w14:paraId="459ECF7E" w14:textId="2E8656A2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D623B2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43F4" w14:textId="77777777" w:rsidR="00847B32" w:rsidRDefault="00847B32">
      <w:r>
        <w:separator/>
      </w:r>
    </w:p>
  </w:endnote>
  <w:endnote w:type="continuationSeparator" w:id="0">
    <w:p w14:paraId="149DC912" w14:textId="77777777" w:rsidR="00847B32" w:rsidRDefault="0084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9215" w14:textId="77777777" w:rsidR="00847B32" w:rsidRDefault="00847B32">
      <w:r>
        <w:separator/>
      </w:r>
    </w:p>
  </w:footnote>
  <w:footnote w:type="continuationSeparator" w:id="0">
    <w:p w14:paraId="0BA94B79" w14:textId="77777777" w:rsidR="00847B32" w:rsidRDefault="0084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5E9F052E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CB1DCE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AD17BD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0/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67B1"/>
    <w:rsid w:val="00177E7E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0582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4406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C668A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571C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87DE4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B32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658D5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7BD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23B2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73133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2A80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42</cp:revision>
  <cp:lastPrinted>2024-09-20T16:11:00Z</cp:lastPrinted>
  <dcterms:created xsi:type="dcterms:W3CDTF">2018-08-29T18:38:00Z</dcterms:created>
  <dcterms:modified xsi:type="dcterms:W3CDTF">2024-09-20T16:11:00Z</dcterms:modified>
</cp:coreProperties>
</file>