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C4E69" w14:textId="77777777" w:rsidR="00426084" w:rsidRPr="00426084" w:rsidRDefault="00426084" w:rsidP="00426084">
      <w:pPr>
        <w:spacing w:line="276" w:lineRule="auto"/>
        <w:jc w:val="center"/>
        <w:rPr>
          <w:rFonts w:ascii="Times New Roman" w:eastAsia="Times New Roman" w:hAnsi="Times New Roman" w:cs="Times New Roman"/>
          <w:color w:val="000000"/>
          <w:sz w:val="28"/>
          <w:szCs w:val="28"/>
          <w:lang w:eastAsia="es-MX"/>
        </w:rPr>
      </w:pPr>
      <w:bookmarkStart w:id="0" w:name="_GoBack"/>
      <w:bookmarkEnd w:id="0"/>
      <w:r w:rsidRPr="00426084">
        <w:rPr>
          <w:rFonts w:ascii="Arial" w:eastAsia="Times New Roman" w:hAnsi="Arial" w:cs="Arial"/>
          <w:b/>
          <w:bCs/>
          <w:color w:val="000000"/>
          <w:sz w:val="28"/>
          <w:szCs w:val="28"/>
          <w:lang w:eastAsia="es-MX"/>
        </w:rPr>
        <w:t>RESERVAS  PRESUPUESTO EGRESOS  2021</w:t>
      </w:r>
    </w:p>
    <w:p w14:paraId="05A8E59E" w14:textId="77777777" w:rsidR="00426084" w:rsidRPr="00426084" w:rsidRDefault="00426084" w:rsidP="00426084">
      <w:pPr>
        <w:spacing w:after="240" w:line="276" w:lineRule="auto"/>
        <w:jc w:val="both"/>
        <w:rPr>
          <w:rFonts w:ascii="Times New Roman" w:eastAsia="Times New Roman" w:hAnsi="Times New Roman" w:cs="Times New Roman"/>
          <w:color w:val="000000"/>
          <w:sz w:val="28"/>
          <w:szCs w:val="28"/>
          <w:lang w:eastAsia="es-MX"/>
        </w:rPr>
      </w:pPr>
    </w:p>
    <w:p w14:paraId="26E3AF5A" w14:textId="77777777" w:rsidR="00426084" w:rsidRDefault="00426084" w:rsidP="00426084">
      <w:pPr>
        <w:spacing w:line="360" w:lineRule="auto"/>
        <w:jc w:val="both"/>
        <w:rPr>
          <w:rFonts w:ascii="Arial" w:eastAsia="Times New Roman" w:hAnsi="Arial" w:cs="Arial"/>
          <w:b/>
          <w:bCs/>
          <w:color w:val="000000"/>
          <w:sz w:val="28"/>
          <w:szCs w:val="28"/>
          <w:lang w:eastAsia="es-MX"/>
        </w:rPr>
      </w:pPr>
    </w:p>
    <w:p w14:paraId="3B7D9F36" w14:textId="2477E6F3" w:rsidR="00426084" w:rsidRPr="00426084" w:rsidRDefault="00426084" w:rsidP="00426084">
      <w:pPr>
        <w:spacing w:line="360" w:lineRule="auto"/>
        <w:jc w:val="both"/>
        <w:rPr>
          <w:rFonts w:ascii="Times New Roman" w:eastAsia="Times New Roman" w:hAnsi="Times New Roman" w:cs="Times New Roman"/>
          <w:color w:val="000000"/>
          <w:sz w:val="28"/>
          <w:szCs w:val="28"/>
          <w:lang w:eastAsia="es-MX"/>
        </w:rPr>
      </w:pPr>
      <w:r w:rsidRPr="00426084">
        <w:rPr>
          <w:rFonts w:ascii="Arial" w:eastAsia="Times New Roman" w:hAnsi="Arial" w:cs="Arial"/>
          <w:b/>
          <w:bCs/>
          <w:color w:val="000000"/>
          <w:sz w:val="28"/>
          <w:szCs w:val="28"/>
          <w:lang w:eastAsia="es-MX"/>
        </w:rPr>
        <w:t>HONORABLE CONGRESO DEL ESTADO.</w:t>
      </w:r>
    </w:p>
    <w:p w14:paraId="5D51B906" w14:textId="3D035744" w:rsidR="00426084" w:rsidRDefault="00426084" w:rsidP="00426084">
      <w:pPr>
        <w:spacing w:line="360" w:lineRule="auto"/>
        <w:jc w:val="both"/>
        <w:rPr>
          <w:rFonts w:ascii="Arial" w:eastAsia="Times New Roman" w:hAnsi="Arial" w:cs="Arial"/>
          <w:b/>
          <w:bCs/>
          <w:color w:val="000000"/>
          <w:sz w:val="28"/>
          <w:szCs w:val="28"/>
          <w:lang w:eastAsia="es-MX"/>
        </w:rPr>
      </w:pPr>
      <w:r w:rsidRPr="00426084">
        <w:rPr>
          <w:rFonts w:ascii="Arial" w:eastAsia="Times New Roman" w:hAnsi="Arial" w:cs="Arial"/>
          <w:b/>
          <w:bCs/>
          <w:color w:val="000000"/>
          <w:sz w:val="28"/>
          <w:szCs w:val="28"/>
          <w:lang w:eastAsia="es-MX"/>
        </w:rPr>
        <w:t>P R E S E N T E.-</w:t>
      </w:r>
    </w:p>
    <w:p w14:paraId="44379C67" w14:textId="77777777" w:rsidR="00426084" w:rsidRPr="00426084" w:rsidRDefault="00426084" w:rsidP="00426084">
      <w:pPr>
        <w:spacing w:line="360" w:lineRule="auto"/>
        <w:jc w:val="both"/>
        <w:rPr>
          <w:rFonts w:ascii="Times New Roman" w:eastAsia="Times New Roman" w:hAnsi="Times New Roman" w:cs="Times New Roman"/>
          <w:color w:val="000000"/>
          <w:sz w:val="28"/>
          <w:szCs w:val="28"/>
          <w:lang w:eastAsia="es-MX"/>
        </w:rPr>
      </w:pPr>
    </w:p>
    <w:p w14:paraId="15D8E62F" w14:textId="558E66B2" w:rsidR="00426084" w:rsidRDefault="00426084" w:rsidP="00426084">
      <w:pPr>
        <w:spacing w:line="360" w:lineRule="auto"/>
        <w:jc w:val="both"/>
        <w:rPr>
          <w:rFonts w:ascii="Arial" w:eastAsia="Times New Roman" w:hAnsi="Arial" w:cs="Arial"/>
          <w:color w:val="000000"/>
          <w:sz w:val="28"/>
          <w:szCs w:val="28"/>
          <w:lang w:eastAsia="es-MX"/>
        </w:rPr>
      </w:pPr>
      <w:r w:rsidRPr="00426084">
        <w:rPr>
          <w:rFonts w:ascii="Arial" w:eastAsia="Times New Roman" w:hAnsi="Arial" w:cs="Arial"/>
          <w:color w:val="000000"/>
          <w:sz w:val="28"/>
          <w:szCs w:val="28"/>
          <w:lang w:eastAsia="es-MX"/>
        </w:rPr>
        <w:t xml:space="preserve">El suscrito </w:t>
      </w:r>
      <w:r w:rsidRPr="00426084">
        <w:rPr>
          <w:rFonts w:ascii="Arial" w:eastAsia="Times New Roman" w:hAnsi="Arial" w:cs="Arial"/>
          <w:b/>
          <w:bCs/>
          <w:color w:val="000000"/>
          <w:sz w:val="28"/>
          <w:szCs w:val="28"/>
          <w:lang w:eastAsia="es-MX"/>
        </w:rPr>
        <w:t>RENÉ FRÍAS BENCOMO</w:t>
      </w:r>
      <w:r w:rsidRPr="00426084">
        <w:rPr>
          <w:rFonts w:ascii="Arial" w:eastAsia="Times New Roman" w:hAnsi="Arial" w:cs="Arial"/>
          <w:color w:val="000000"/>
          <w:sz w:val="28"/>
          <w:szCs w:val="28"/>
          <w:lang w:eastAsia="es-MX"/>
        </w:rPr>
        <w:t>, Diputado integrante de la Sexagésima Sexta Legislatura, representante del partido Nueva Alianza, con fundamento en lo dispuesto por el artículo 116, fracción II, inciso a) del Reglamento Interior y de Prácticas Parlamentarias del Poder Legislativo, acudo ante esta Honorable Representación, a efecto de presentar una</w:t>
      </w:r>
      <w:r w:rsidRPr="00426084">
        <w:rPr>
          <w:rFonts w:ascii="Arial" w:eastAsia="Times New Roman" w:hAnsi="Arial" w:cs="Arial"/>
          <w:b/>
          <w:bCs/>
          <w:color w:val="000000"/>
          <w:sz w:val="28"/>
          <w:szCs w:val="28"/>
          <w:lang w:eastAsia="es-MX"/>
        </w:rPr>
        <w:t xml:space="preserve"> RESERVA </w:t>
      </w:r>
      <w:r w:rsidRPr="00426084">
        <w:rPr>
          <w:rFonts w:ascii="Arial" w:eastAsia="Times New Roman" w:hAnsi="Arial" w:cs="Arial"/>
          <w:color w:val="000000"/>
          <w:sz w:val="28"/>
          <w:szCs w:val="28"/>
          <w:lang w:eastAsia="es-MX"/>
        </w:rPr>
        <w:t>respecto de los siguientes Artículos Transitorios: Segundo y Duodécimo</w:t>
      </w:r>
      <w:r>
        <w:rPr>
          <w:rFonts w:ascii="Arial" w:eastAsia="Times New Roman" w:hAnsi="Arial" w:cs="Arial"/>
          <w:color w:val="000000"/>
          <w:sz w:val="28"/>
          <w:szCs w:val="28"/>
          <w:lang w:eastAsia="es-MX"/>
        </w:rPr>
        <w:t>,</w:t>
      </w:r>
      <w:r w:rsidRPr="00426084">
        <w:rPr>
          <w:rFonts w:ascii="Arial" w:eastAsia="Times New Roman" w:hAnsi="Arial" w:cs="Arial"/>
          <w:color w:val="000000"/>
          <w:sz w:val="28"/>
          <w:szCs w:val="28"/>
          <w:lang w:eastAsia="es-MX"/>
        </w:rPr>
        <w:t xml:space="preserve"> así como la propuesta de adición de dos artículo transitorio, todos correspondientes al dictamen que versa en Iniciativa para el Presupuesto de Egresos del ejercicio fiscal 2021. Lo anterior al tenor de la siguiente:</w:t>
      </w:r>
    </w:p>
    <w:p w14:paraId="2334164A" w14:textId="56AF1581" w:rsidR="00426084" w:rsidRPr="00426084" w:rsidRDefault="00426084" w:rsidP="00426084">
      <w:pPr>
        <w:spacing w:line="276" w:lineRule="auto"/>
        <w:jc w:val="both"/>
        <w:rPr>
          <w:rFonts w:ascii="Times New Roman" w:eastAsia="Times New Roman" w:hAnsi="Times New Roman" w:cs="Times New Roman"/>
          <w:color w:val="000000"/>
          <w:sz w:val="28"/>
          <w:szCs w:val="28"/>
          <w:lang w:eastAsia="es-MX"/>
        </w:rPr>
      </w:pPr>
      <w:r w:rsidRPr="00426084">
        <w:rPr>
          <w:rFonts w:ascii="Arial" w:eastAsia="Times New Roman" w:hAnsi="Arial" w:cs="Arial"/>
          <w:color w:val="000000"/>
          <w:sz w:val="28"/>
          <w:szCs w:val="28"/>
          <w:lang w:eastAsia="es-MX"/>
        </w:rPr>
        <w:br/>
      </w:r>
      <w:r w:rsidRPr="00426084">
        <w:rPr>
          <w:rFonts w:ascii="Arial" w:eastAsia="Times New Roman" w:hAnsi="Arial" w:cs="Arial"/>
          <w:color w:val="000000"/>
          <w:sz w:val="28"/>
          <w:szCs w:val="28"/>
          <w:lang w:eastAsia="es-MX"/>
        </w:rPr>
        <w:br/>
      </w:r>
    </w:p>
    <w:p w14:paraId="2047D912" w14:textId="77777777" w:rsidR="00426084" w:rsidRPr="00426084" w:rsidRDefault="00426084" w:rsidP="00426084">
      <w:pPr>
        <w:spacing w:after="200" w:line="276" w:lineRule="auto"/>
        <w:jc w:val="center"/>
        <w:rPr>
          <w:rFonts w:ascii="Times New Roman" w:eastAsia="Times New Roman" w:hAnsi="Times New Roman" w:cs="Times New Roman"/>
          <w:color w:val="000000"/>
          <w:sz w:val="28"/>
          <w:szCs w:val="28"/>
          <w:lang w:eastAsia="es-MX"/>
        </w:rPr>
      </w:pPr>
      <w:r w:rsidRPr="00426084">
        <w:rPr>
          <w:rFonts w:ascii="Arial" w:eastAsia="Times New Roman" w:hAnsi="Arial" w:cs="Arial"/>
          <w:b/>
          <w:bCs/>
          <w:color w:val="000000"/>
          <w:sz w:val="28"/>
          <w:szCs w:val="28"/>
          <w:lang w:eastAsia="es-MX"/>
        </w:rPr>
        <w:t>EXPOSICIÓN DE MOTIVOS:</w:t>
      </w:r>
    </w:p>
    <w:p w14:paraId="66445907" w14:textId="77777777" w:rsidR="004E5F32" w:rsidRPr="004E5F32" w:rsidRDefault="004E5F32" w:rsidP="004E5F32">
      <w:pPr>
        <w:spacing w:after="200" w:line="360" w:lineRule="auto"/>
        <w:jc w:val="both"/>
        <w:rPr>
          <w:rFonts w:ascii="Times New Roman" w:eastAsia="Times New Roman" w:hAnsi="Times New Roman" w:cs="Times New Roman"/>
          <w:color w:val="000000"/>
          <w:lang w:eastAsia="es-MX"/>
        </w:rPr>
      </w:pPr>
      <w:r w:rsidRPr="004E5F32">
        <w:rPr>
          <w:rFonts w:ascii="Arial" w:eastAsia="Times New Roman" w:hAnsi="Arial" w:cs="Arial"/>
          <w:color w:val="000000"/>
          <w:sz w:val="28"/>
          <w:szCs w:val="28"/>
          <w:lang w:eastAsia="es-MX"/>
        </w:rPr>
        <w:t>Pensiones Civiles del Estado se ha caracterizado por brindar un servicio de calidad y calidez a sus derechohabientes, sin embargo, de un tiempo a la fecha la crisis financiera en la que se encuentra, derivado de la deuda que algunas instituciones afiliadas tienen con este instituto de seguridad social, han puesto en jaque sus finanzas. </w:t>
      </w:r>
    </w:p>
    <w:p w14:paraId="7433A774" w14:textId="41272478" w:rsidR="004E5F32" w:rsidRPr="004E5F32" w:rsidRDefault="004E5F32" w:rsidP="004E5F32">
      <w:pPr>
        <w:pStyle w:val="NormalWeb"/>
        <w:spacing w:before="0" w:beforeAutospacing="0" w:after="200" w:afterAutospacing="0" w:line="360" w:lineRule="auto"/>
        <w:jc w:val="both"/>
        <w:rPr>
          <w:color w:val="000000"/>
        </w:rPr>
      </w:pPr>
      <w:r w:rsidRPr="004E5F32">
        <w:rPr>
          <w:rFonts w:ascii="Arial" w:hAnsi="Arial" w:cs="Arial"/>
          <w:color w:val="000000"/>
          <w:sz w:val="28"/>
          <w:szCs w:val="28"/>
        </w:rPr>
        <w:lastRenderedPageBreak/>
        <w:t>Esta situación ha tenido consecuencias, mismas que han puesto en riesgo los servicios médicos que se  ofrecen, dejando en las últimas semanas a personas sin acceso a servicios hospitalarios</w:t>
      </w:r>
      <w:r w:rsidR="00D607E6">
        <w:rPr>
          <w:rFonts w:ascii="Arial" w:hAnsi="Arial" w:cs="Arial"/>
          <w:color w:val="000000"/>
          <w:sz w:val="28"/>
          <w:szCs w:val="28"/>
        </w:rPr>
        <w:t xml:space="preserve"> y sin la administración de tratamientos médicos indicados,</w:t>
      </w:r>
      <w:r w:rsidRPr="004E5F32">
        <w:rPr>
          <w:rFonts w:ascii="Arial" w:hAnsi="Arial" w:cs="Arial"/>
          <w:color w:val="000000"/>
          <w:sz w:val="28"/>
          <w:szCs w:val="28"/>
        </w:rPr>
        <w:t xml:space="preserve"> </w:t>
      </w:r>
      <w:r w:rsidR="00D607E6">
        <w:rPr>
          <w:rFonts w:ascii="Arial" w:hAnsi="Arial" w:cs="Arial"/>
          <w:color w:val="000000"/>
          <w:sz w:val="28"/>
          <w:szCs w:val="28"/>
        </w:rPr>
        <w:t>esto como consecuencia de</w:t>
      </w:r>
      <w:r w:rsidRPr="004E5F32">
        <w:rPr>
          <w:rFonts w:ascii="Arial" w:hAnsi="Arial" w:cs="Arial"/>
          <w:color w:val="000000"/>
          <w:sz w:val="28"/>
          <w:szCs w:val="28"/>
        </w:rPr>
        <w:t xml:space="preserve"> la deuda que se tiene con las instituciones privadas, que no ha sido posible pagar, por no enterar las retenciones de servicios médicos y de</w:t>
      </w:r>
      <w:r>
        <w:rPr>
          <w:rFonts w:ascii="Arial" w:hAnsi="Arial" w:cs="Arial"/>
          <w:color w:val="000000"/>
          <w:sz w:val="28"/>
          <w:szCs w:val="28"/>
        </w:rPr>
        <w:t xml:space="preserve"> </w:t>
      </w:r>
      <w:r w:rsidRPr="004E5F32">
        <w:rPr>
          <w:rFonts w:ascii="Arial" w:hAnsi="Arial" w:cs="Arial"/>
          <w:color w:val="000000"/>
          <w:sz w:val="28"/>
          <w:szCs w:val="28"/>
        </w:rPr>
        <w:t>pensiones y jubilaciones de las diversas dependencias que hoy ya muchos conocemos. </w:t>
      </w:r>
    </w:p>
    <w:p w14:paraId="7CAC0266" w14:textId="77777777" w:rsidR="004E5F32" w:rsidRPr="004E5F32" w:rsidRDefault="004E5F32" w:rsidP="004E5F32">
      <w:pPr>
        <w:spacing w:after="200" w:line="360" w:lineRule="auto"/>
        <w:jc w:val="both"/>
        <w:rPr>
          <w:rFonts w:ascii="Times New Roman" w:eastAsia="Times New Roman" w:hAnsi="Times New Roman" w:cs="Times New Roman"/>
          <w:color w:val="000000"/>
          <w:lang w:eastAsia="es-MX"/>
        </w:rPr>
      </w:pPr>
      <w:r w:rsidRPr="004E5F32">
        <w:rPr>
          <w:rFonts w:ascii="Arial" w:eastAsia="Times New Roman" w:hAnsi="Arial" w:cs="Arial"/>
          <w:color w:val="000000"/>
          <w:sz w:val="28"/>
          <w:szCs w:val="28"/>
          <w:lang w:eastAsia="es-MX"/>
        </w:rPr>
        <w:t>La Comisión de Presupuesto y Hacienda Pública ha tomado en cuenta todas las propuestas que le hemos hecho llegar, misma que agradecemos, pero que a su vez, estimamos que no son suficientes, por ello, consideramos pertinente realizar algunos ajustes presupuestales que permitan oxigenar más la operatividad y finanzas de Pensiones, ya que, por la crisis en la que se encuentra inmersa, el esfuerzo deberá ser mayor. </w:t>
      </w:r>
    </w:p>
    <w:p w14:paraId="6DE50D98" w14:textId="77777777" w:rsidR="004E5F32" w:rsidRPr="004E5F32" w:rsidRDefault="004E5F32" w:rsidP="004E5F32">
      <w:pPr>
        <w:spacing w:after="200" w:line="360" w:lineRule="auto"/>
        <w:jc w:val="both"/>
        <w:rPr>
          <w:rFonts w:ascii="Times New Roman" w:eastAsia="Times New Roman" w:hAnsi="Times New Roman" w:cs="Times New Roman"/>
          <w:color w:val="000000"/>
          <w:lang w:eastAsia="es-MX"/>
        </w:rPr>
      </w:pPr>
      <w:r w:rsidRPr="004E5F32">
        <w:rPr>
          <w:rFonts w:ascii="Arial" w:eastAsia="Times New Roman" w:hAnsi="Arial" w:cs="Arial"/>
          <w:color w:val="000000"/>
          <w:sz w:val="28"/>
          <w:szCs w:val="28"/>
          <w:lang w:eastAsia="es-MX"/>
        </w:rPr>
        <w:t>Sabemos que toda la esfera de la administración pública habremos de ajustarnos el cinturón, ya que, la crisis de salud mundial, ha impacto en todas las áreas, incluyendo en el ámbito social y económico, por ende el recaudatorio, sin embargo, no podemos permitir que Pensiones Civiles del Estado corra el riesgo de verse aún más afectado.</w:t>
      </w:r>
    </w:p>
    <w:p w14:paraId="2D20B325" w14:textId="2F2D2E68" w:rsidR="004E5F32" w:rsidRPr="004E5F32" w:rsidRDefault="004E5F32" w:rsidP="004E5F32">
      <w:pPr>
        <w:spacing w:after="200" w:line="360" w:lineRule="auto"/>
        <w:jc w:val="both"/>
        <w:rPr>
          <w:rFonts w:ascii="Times New Roman" w:eastAsia="Times New Roman" w:hAnsi="Times New Roman" w:cs="Times New Roman"/>
          <w:color w:val="000000"/>
          <w:lang w:eastAsia="es-MX"/>
        </w:rPr>
      </w:pPr>
      <w:r w:rsidRPr="004E5F32">
        <w:rPr>
          <w:rFonts w:ascii="Arial" w:eastAsia="Times New Roman" w:hAnsi="Arial" w:cs="Arial"/>
          <w:color w:val="000000"/>
          <w:sz w:val="28"/>
          <w:szCs w:val="28"/>
          <w:lang w:eastAsia="es-MX"/>
        </w:rPr>
        <w:t xml:space="preserve">Las acciones que planteamos son sólo el principio de un camino que deberá permitir darle viabilidad en su operación para este año 2021, asimismo comprometer a las instituciones deudoras a la responsabilidad del pago de cuentas pendientes y saldar de una vez por todas lo que corresponda, así como </w:t>
      </w:r>
      <w:r w:rsidRPr="004E5F32">
        <w:rPr>
          <w:rFonts w:ascii="Arial" w:eastAsia="Times New Roman" w:hAnsi="Arial" w:cs="Arial"/>
          <w:color w:val="000000"/>
          <w:sz w:val="28"/>
          <w:szCs w:val="28"/>
          <w:lang w:eastAsia="es-MX"/>
        </w:rPr>
        <w:lastRenderedPageBreak/>
        <w:t>enterar mes con mes  la que por ley les corresponde, o en su caso, si son</w:t>
      </w:r>
      <w:r>
        <w:rPr>
          <w:rFonts w:ascii="Arial" w:eastAsia="Times New Roman" w:hAnsi="Arial" w:cs="Arial"/>
          <w:color w:val="000000"/>
          <w:sz w:val="28"/>
          <w:szCs w:val="28"/>
          <w:lang w:eastAsia="es-MX"/>
        </w:rPr>
        <w:t xml:space="preserve"> </w:t>
      </w:r>
      <w:r w:rsidRPr="004E5F32">
        <w:rPr>
          <w:rFonts w:ascii="Arial" w:eastAsia="Times New Roman" w:hAnsi="Arial" w:cs="Arial"/>
          <w:color w:val="000000"/>
          <w:sz w:val="28"/>
          <w:szCs w:val="28"/>
          <w:lang w:eastAsia="es-MX"/>
        </w:rPr>
        <w:t>omisos, tomar la determinación de trasladar y afiliar a sus empleados a nuevo esquema de seguridad social, con alguna otra institución que no vea afectada su operación por la falta de pago, tales como el ICHISAL, IMSS, ISSSTE o alguna otra institución que pueda darles el servicio médico o de Pensiones a los que sus empleados tienen derecho. </w:t>
      </w:r>
    </w:p>
    <w:p w14:paraId="61C0DDF0" w14:textId="77777777" w:rsidR="004E5F32" w:rsidRPr="004E5F32" w:rsidRDefault="004E5F32" w:rsidP="004E5F32">
      <w:pPr>
        <w:spacing w:line="360" w:lineRule="auto"/>
        <w:jc w:val="both"/>
        <w:rPr>
          <w:rFonts w:ascii="Times New Roman" w:eastAsia="Times New Roman" w:hAnsi="Times New Roman" w:cs="Times New Roman"/>
          <w:lang w:eastAsia="es-MX"/>
        </w:rPr>
      </w:pPr>
      <w:r w:rsidRPr="004E5F32">
        <w:rPr>
          <w:rFonts w:ascii="Arial" w:eastAsia="Times New Roman" w:hAnsi="Arial" w:cs="Arial"/>
          <w:color w:val="000000"/>
          <w:sz w:val="28"/>
          <w:szCs w:val="28"/>
          <w:lang w:eastAsia="es-MX"/>
        </w:rPr>
        <w:t>En el Planteamiento aprobado por la Comisión se proponía que la UACH aportará tan sólo $154 ́848,255.30 , sin embargo, y teniendo en consideración que la deuda de la universidad asciende a 620 millones, 480 mp de diferencial de servicio médico y 140 mp de aportaciones y retenciones de trabajadores, solo de capital, consideramos que se debe hacer un ajuste para que lo destinado al pago de su deuda sea mayor, por lo que proponemos que este sea de $310,000,000.00.</w:t>
      </w:r>
    </w:p>
    <w:p w14:paraId="60B060FB" w14:textId="77777777" w:rsidR="004E5F32" w:rsidRDefault="004E5F32" w:rsidP="00426084">
      <w:pPr>
        <w:spacing w:line="276" w:lineRule="auto"/>
        <w:jc w:val="both"/>
        <w:rPr>
          <w:rFonts w:ascii="Times New Roman" w:eastAsia="Times New Roman" w:hAnsi="Times New Roman" w:cs="Times New Roman"/>
          <w:lang w:eastAsia="es-MX"/>
        </w:rPr>
      </w:pPr>
    </w:p>
    <w:p w14:paraId="3D50FCDE" w14:textId="77777777" w:rsidR="004E5F32" w:rsidRDefault="004E5F32" w:rsidP="00426084">
      <w:pPr>
        <w:spacing w:line="276" w:lineRule="auto"/>
        <w:jc w:val="both"/>
        <w:rPr>
          <w:rFonts w:ascii="Times New Roman" w:eastAsia="Times New Roman" w:hAnsi="Times New Roman" w:cs="Times New Roman"/>
          <w:lang w:eastAsia="es-MX"/>
        </w:rPr>
      </w:pPr>
    </w:p>
    <w:p w14:paraId="13493081" w14:textId="67019FFF" w:rsidR="00426084" w:rsidRDefault="00426084" w:rsidP="00426084">
      <w:pPr>
        <w:spacing w:line="276" w:lineRule="auto"/>
        <w:jc w:val="both"/>
        <w:rPr>
          <w:rFonts w:ascii="Arial" w:eastAsia="Times New Roman" w:hAnsi="Arial" w:cs="Arial"/>
          <w:color w:val="000000"/>
          <w:sz w:val="28"/>
          <w:szCs w:val="28"/>
          <w:lang w:eastAsia="es-MX"/>
        </w:rPr>
      </w:pPr>
      <w:r w:rsidRPr="00426084">
        <w:rPr>
          <w:rFonts w:ascii="Arial" w:eastAsia="Times New Roman" w:hAnsi="Arial" w:cs="Arial"/>
          <w:color w:val="000000"/>
          <w:sz w:val="28"/>
          <w:szCs w:val="28"/>
          <w:lang w:eastAsia="es-MX"/>
        </w:rPr>
        <w:t>Es por las razones expuestas que sometemos a la consideración de este Pleno la presente reserva aparejada de la siguiente propuesta:</w:t>
      </w:r>
    </w:p>
    <w:p w14:paraId="4463E130" w14:textId="77777777" w:rsidR="004E5F32" w:rsidRPr="00426084" w:rsidRDefault="004E5F32" w:rsidP="00426084">
      <w:pPr>
        <w:spacing w:line="276" w:lineRule="auto"/>
        <w:jc w:val="both"/>
        <w:rPr>
          <w:rFonts w:ascii="Times New Roman" w:eastAsia="Times New Roman" w:hAnsi="Times New Roman" w:cs="Times New Roman"/>
          <w:sz w:val="28"/>
          <w:szCs w:val="28"/>
          <w:lang w:eastAsia="es-MX"/>
        </w:rPr>
      </w:pPr>
    </w:p>
    <w:p w14:paraId="4F41F5D1" w14:textId="77777777" w:rsidR="00426084" w:rsidRDefault="00426084" w:rsidP="00426084">
      <w:pPr>
        <w:spacing w:line="360" w:lineRule="auto"/>
        <w:ind w:right="175"/>
        <w:jc w:val="both"/>
        <w:rPr>
          <w:rFonts w:ascii="Arial" w:hAnsi="Arial" w:cs="Arial"/>
          <w:b/>
          <w:sz w:val="28"/>
          <w:szCs w:val="28"/>
        </w:rPr>
      </w:pPr>
    </w:p>
    <w:p w14:paraId="6417DC1A" w14:textId="353F0F7D" w:rsidR="00F058F1" w:rsidRPr="00426084" w:rsidRDefault="00F058F1" w:rsidP="00426084">
      <w:pPr>
        <w:spacing w:line="360" w:lineRule="auto"/>
        <w:ind w:right="175"/>
        <w:jc w:val="both"/>
        <w:rPr>
          <w:rFonts w:ascii="Arial" w:hAnsi="Arial" w:cs="Arial"/>
          <w:sz w:val="28"/>
          <w:szCs w:val="28"/>
        </w:rPr>
      </w:pPr>
      <w:r w:rsidRPr="00426084">
        <w:rPr>
          <w:rFonts w:ascii="Arial" w:hAnsi="Arial" w:cs="Arial"/>
          <w:b/>
          <w:sz w:val="28"/>
          <w:szCs w:val="28"/>
        </w:rPr>
        <w:t xml:space="preserve">ARTÍCULO SEGUNDO.- </w:t>
      </w:r>
      <w:r w:rsidRPr="00426084">
        <w:rPr>
          <w:rFonts w:ascii="Arial" w:hAnsi="Arial" w:cs="Arial"/>
          <w:sz w:val="28"/>
          <w:szCs w:val="28"/>
        </w:rPr>
        <w:t>La reorientación del presupuesto se hará en los siguientes términos:</w:t>
      </w:r>
    </w:p>
    <w:p w14:paraId="5A36F611" w14:textId="2B8E864C" w:rsidR="00F058F1" w:rsidRPr="00426084" w:rsidRDefault="00F058F1" w:rsidP="00426084">
      <w:pPr>
        <w:pStyle w:val="Textoindependiente"/>
        <w:spacing w:before="63" w:line="360" w:lineRule="auto"/>
        <w:ind w:right="178"/>
        <w:jc w:val="both"/>
        <w:rPr>
          <w:rFonts w:ascii="Arial" w:hAnsi="Arial" w:cs="Arial"/>
          <w:sz w:val="28"/>
          <w:szCs w:val="28"/>
        </w:rPr>
      </w:pPr>
      <w:r w:rsidRPr="00426084">
        <w:rPr>
          <w:rFonts w:ascii="Arial" w:hAnsi="Arial" w:cs="Arial"/>
          <w:spacing w:val="-5"/>
          <w:w w:val="99"/>
          <w:sz w:val="28"/>
          <w:szCs w:val="28"/>
        </w:rPr>
        <w:t>A</w:t>
      </w:r>
      <w:r w:rsidRPr="00426084">
        <w:rPr>
          <w:rFonts w:ascii="Arial" w:hAnsi="Arial" w:cs="Arial"/>
          <w:spacing w:val="-1"/>
          <w:sz w:val="28"/>
          <w:szCs w:val="28"/>
        </w:rPr>
        <w:t>p</w:t>
      </w:r>
      <w:r w:rsidRPr="00426084">
        <w:rPr>
          <w:rFonts w:ascii="Arial" w:hAnsi="Arial" w:cs="Arial"/>
          <w:spacing w:val="4"/>
          <w:sz w:val="28"/>
          <w:szCs w:val="28"/>
        </w:rPr>
        <w:t>l</w:t>
      </w:r>
      <w:r w:rsidRPr="00426084">
        <w:rPr>
          <w:rFonts w:ascii="Arial" w:hAnsi="Arial" w:cs="Arial"/>
          <w:spacing w:val="-5"/>
          <w:sz w:val="28"/>
          <w:szCs w:val="28"/>
        </w:rPr>
        <w:t>i</w:t>
      </w:r>
      <w:r w:rsidRPr="00426084">
        <w:rPr>
          <w:rFonts w:ascii="Arial" w:hAnsi="Arial" w:cs="Arial"/>
          <w:spacing w:val="2"/>
          <w:w w:val="99"/>
          <w:sz w:val="28"/>
          <w:szCs w:val="28"/>
        </w:rPr>
        <w:t>c</w:t>
      </w:r>
      <w:r w:rsidRPr="00426084">
        <w:rPr>
          <w:rFonts w:ascii="Arial" w:hAnsi="Arial" w:cs="Arial"/>
          <w:spacing w:val="-1"/>
          <w:sz w:val="28"/>
          <w:szCs w:val="28"/>
        </w:rPr>
        <w:t>a</w:t>
      </w:r>
      <w:r w:rsidRPr="00426084">
        <w:rPr>
          <w:rFonts w:ascii="Arial" w:hAnsi="Arial" w:cs="Arial"/>
          <w:spacing w:val="2"/>
          <w:w w:val="99"/>
          <w:sz w:val="28"/>
          <w:szCs w:val="28"/>
        </w:rPr>
        <w:t>c</w:t>
      </w:r>
      <w:r w:rsidRPr="00426084">
        <w:rPr>
          <w:rFonts w:ascii="Arial" w:hAnsi="Arial" w:cs="Arial"/>
          <w:spacing w:val="-5"/>
          <w:sz w:val="28"/>
          <w:szCs w:val="28"/>
        </w:rPr>
        <w:t>i</w:t>
      </w:r>
      <w:r w:rsidRPr="00426084">
        <w:rPr>
          <w:rFonts w:ascii="Arial" w:hAnsi="Arial" w:cs="Arial"/>
          <w:spacing w:val="1"/>
          <w:w w:val="99"/>
          <w:sz w:val="28"/>
          <w:szCs w:val="28"/>
        </w:rPr>
        <w:t>ó</w:t>
      </w:r>
      <w:r w:rsidRPr="00426084">
        <w:rPr>
          <w:rFonts w:ascii="Arial" w:hAnsi="Arial" w:cs="Arial"/>
          <w:w w:val="99"/>
          <w:sz w:val="28"/>
          <w:szCs w:val="28"/>
        </w:rPr>
        <w:t>n</w:t>
      </w:r>
      <w:r w:rsidRPr="00426084">
        <w:rPr>
          <w:rFonts w:ascii="Arial" w:hAnsi="Arial" w:cs="Arial"/>
          <w:spacing w:val="12"/>
          <w:sz w:val="28"/>
          <w:szCs w:val="28"/>
        </w:rPr>
        <w:t xml:space="preserve"> </w:t>
      </w:r>
      <w:r w:rsidRPr="00426084">
        <w:rPr>
          <w:rFonts w:ascii="Arial" w:hAnsi="Arial" w:cs="Arial"/>
          <w:spacing w:val="-1"/>
          <w:sz w:val="28"/>
          <w:szCs w:val="28"/>
        </w:rPr>
        <w:t>p</w:t>
      </w:r>
      <w:r w:rsidRPr="00426084">
        <w:rPr>
          <w:rFonts w:ascii="Arial" w:hAnsi="Arial" w:cs="Arial"/>
          <w:sz w:val="28"/>
          <w:szCs w:val="28"/>
        </w:rPr>
        <w:t>o</w:t>
      </w:r>
      <w:r w:rsidRPr="00426084">
        <w:rPr>
          <w:rFonts w:ascii="Arial" w:hAnsi="Arial" w:cs="Arial"/>
          <w:w w:val="99"/>
          <w:sz w:val="28"/>
          <w:szCs w:val="28"/>
        </w:rPr>
        <w:t>r</w:t>
      </w:r>
      <w:r w:rsidRPr="00426084">
        <w:rPr>
          <w:rFonts w:ascii="Arial" w:hAnsi="Arial" w:cs="Arial"/>
          <w:spacing w:val="9"/>
          <w:sz w:val="28"/>
          <w:szCs w:val="28"/>
        </w:rPr>
        <w:t xml:space="preserve"> </w:t>
      </w:r>
      <w:r w:rsidRPr="00426084">
        <w:rPr>
          <w:rFonts w:ascii="Arial" w:hAnsi="Arial" w:cs="Arial"/>
          <w:sz w:val="28"/>
          <w:szCs w:val="28"/>
        </w:rPr>
        <w:t>E</w:t>
      </w:r>
      <w:r w:rsidRPr="00426084">
        <w:rPr>
          <w:rFonts w:ascii="Arial" w:hAnsi="Arial" w:cs="Arial"/>
          <w:spacing w:val="2"/>
          <w:w w:val="99"/>
          <w:sz w:val="28"/>
          <w:szCs w:val="28"/>
        </w:rPr>
        <w:t>n</w:t>
      </w:r>
      <w:r w:rsidRPr="00426084">
        <w:rPr>
          <w:rFonts w:ascii="Arial" w:hAnsi="Arial" w:cs="Arial"/>
          <w:w w:val="99"/>
          <w:sz w:val="28"/>
          <w:szCs w:val="28"/>
        </w:rPr>
        <w:t>te</w:t>
      </w:r>
      <w:r w:rsidRPr="00426084">
        <w:rPr>
          <w:rFonts w:ascii="Arial" w:hAnsi="Arial" w:cs="Arial"/>
          <w:spacing w:val="12"/>
          <w:sz w:val="28"/>
          <w:szCs w:val="28"/>
        </w:rPr>
        <w:t xml:space="preserve"> </w:t>
      </w:r>
      <w:r w:rsidRPr="00426084">
        <w:rPr>
          <w:rFonts w:ascii="Arial" w:hAnsi="Arial" w:cs="Arial"/>
          <w:spacing w:val="1"/>
          <w:w w:val="99"/>
          <w:sz w:val="28"/>
          <w:szCs w:val="28"/>
        </w:rPr>
        <w:t>P</w:t>
      </w:r>
      <w:r w:rsidRPr="00426084">
        <w:rPr>
          <w:rFonts w:ascii="Arial" w:hAnsi="Arial" w:cs="Arial"/>
          <w:smallCaps/>
          <w:spacing w:val="-2"/>
          <w:w w:val="116"/>
          <w:sz w:val="28"/>
          <w:szCs w:val="28"/>
        </w:rPr>
        <w:t>ú</w:t>
      </w:r>
      <w:r w:rsidRPr="00426084">
        <w:rPr>
          <w:rFonts w:ascii="Arial" w:hAnsi="Arial" w:cs="Arial"/>
          <w:spacing w:val="-1"/>
          <w:sz w:val="28"/>
          <w:szCs w:val="28"/>
        </w:rPr>
        <w:t>b</w:t>
      </w:r>
      <w:r w:rsidRPr="00426084">
        <w:rPr>
          <w:rFonts w:ascii="Arial" w:hAnsi="Arial" w:cs="Arial"/>
          <w:spacing w:val="4"/>
          <w:sz w:val="28"/>
          <w:szCs w:val="28"/>
        </w:rPr>
        <w:t>l</w:t>
      </w:r>
      <w:r w:rsidRPr="00426084">
        <w:rPr>
          <w:rFonts w:ascii="Arial" w:hAnsi="Arial" w:cs="Arial"/>
          <w:spacing w:val="-5"/>
          <w:sz w:val="28"/>
          <w:szCs w:val="28"/>
        </w:rPr>
        <w:t>i</w:t>
      </w:r>
      <w:r w:rsidRPr="00426084">
        <w:rPr>
          <w:rFonts w:ascii="Arial" w:hAnsi="Arial" w:cs="Arial"/>
          <w:spacing w:val="-2"/>
          <w:w w:val="99"/>
          <w:sz w:val="28"/>
          <w:szCs w:val="28"/>
        </w:rPr>
        <w:t>c</w:t>
      </w:r>
      <w:r w:rsidRPr="00426084">
        <w:rPr>
          <w:rFonts w:ascii="Arial" w:hAnsi="Arial" w:cs="Arial"/>
          <w:w w:val="99"/>
          <w:sz w:val="28"/>
          <w:szCs w:val="28"/>
        </w:rPr>
        <w:t>o</w:t>
      </w:r>
      <w:r w:rsidRPr="00426084">
        <w:rPr>
          <w:rFonts w:ascii="Arial" w:hAnsi="Arial" w:cs="Arial"/>
          <w:spacing w:val="11"/>
          <w:sz w:val="28"/>
          <w:szCs w:val="28"/>
        </w:rPr>
        <w:t xml:space="preserve"> </w:t>
      </w:r>
      <w:r w:rsidRPr="00426084">
        <w:rPr>
          <w:rFonts w:ascii="Arial" w:hAnsi="Arial" w:cs="Arial"/>
          <w:sz w:val="28"/>
          <w:szCs w:val="28"/>
        </w:rPr>
        <w:t>a</w:t>
      </w:r>
      <w:r w:rsidRPr="00426084">
        <w:rPr>
          <w:rFonts w:ascii="Arial" w:hAnsi="Arial" w:cs="Arial"/>
          <w:spacing w:val="9"/>
          <w:sz w:val="28"/>
          <w:szCs w:val="28"/>
        </w:rPr>
        <w:t xml:space="preserve"> </w:t>
      </w:r>
      <w:r w:rsidRPr="00426084">
        <w:rPr>
          <w:rFonts w:ascii="Arial" w:hAnsi="Arial" w:cs="Arial"/>
          <w:w w:val="99"/>
          <w:sz w:val="28"/>
          <w:szCs w:val="28"/>
        </w:rPr>
        <w:t>r</w:t>
      </w:r>
      <w:r w:rsidRPr="00426084">
        <w:rPr>
          <w:rFonts w:ascii="Arial" w:hAnsi="Arial" w:cs="Arial"/>
          <w:spacing w:val="-1"/>
          <w:w w:val="99"/>
          <w:sz w:val="28"/>
          <w:szCs w:val="28"/>
        </w:rPr>
        <w:t>a</w:t>
      </w:r>
      <w:r w:rsidRPr="00426084">
        <w:rPr>
          <w:rFonts w:ascii="Arial" w:hAnsi="Arial" w:cs="Arial"/>
          <w:spacing w:val="-2"/>
          <w:w w:val="99"/>
          <w:sz w:val="28"/>
          <w:szCs w:val="28"/>
        </w:rPr>
        <w:t>z</w:t>
      </w:r>
      <w:r w:rsidRPr="00426084">
        <w:rPr>
          <w:rFonts w:ascii="Arial" w:hAnsi="Arial" w:cs="Arial"/>
          <w:spacing w:val="1"/>
          <w:w w:val="99"/>
          <w:sz w:val="28"/>
          <w:szCs w:val="28"/>
        </w:rPr>
        <w:t>ó</w:t>
      </w:r>
      <w:r w:rsidRPr="00426084">
        <w:rPr>
          <w:rFonts w:ascii="Arial" w:hAnsi="Arial" w:cs="Arial"/>
          <w:w w:val="99"/>
          <w:sz w:val="28"/>
          <w:szCs w:val="28"/>
        </w:rPr>
        <w:t>n</w:t>
      </w:r>
      <w:r w:rsidRPr="00426084">
        <w:rPr>
          <w:rFonts w:ascii="Arial" w:hAnsi="Arial" w:cs="Arial"/>
          <w:spacing w:val="18"/>
          <w:sz w:val="28"/>
          <w:szCs w:val="28"/>
        </w:rPr>
        <w:t xml:space="preserve"> </w:t>
      </w:r>
      <w:r w:rsidRPr="00426084">
        <w:rPr>
          <w:rFonts w:ascii="Arial" w:hAnsi="Arial" w:cs="Arial"/>
          <w:spacing w:val="-2"/>
          <w:sz w:val="28"/>
          <w:szCs w:val="28"/>
        </w:rPr>
        <w:t>d</w:t>
      </w:r>
      <w:r w:rsidRPr="00426084">
        <w:rPr>
          <w:rFonts w:ascii="Arial" w:hAnsi="Arial" w:cs="Arial"/>
          <w:spacing w:val="2"/>
          <w:w w:val="99"/>
          <w:sz w:val="28"/>
          <w:szCs w:val="28"/>
        </w:rPr>
        <w:t>e</w:t>
      </w:r>
      <w:r w:rsidRPr="00426084">
        <w:rPr>
          <w:rFonts w:ascii="Arial" w:hAnsi="Arial" w:cs="Arial"/>
          <w:w w:val="99"/>
          <w:sz w:val="28"/>
          <w:szCs w:val="28"/>
        </w:rPr>
        <w:t>:</w:t>
      </w:r>
      <w:r w:rsidRPr="00426084">
        <w:rPr>
          <w:rFonts w:ascii="Arial" w:hAnsi="Arial" w:cs="Arial"/>
          <w:spacing w:val="10"/>
          <w:sz w:val="28"/>
          <w:szCs w:val="28"/>
        </w:rPr>
        <w:t xml:space="preserve"> </w:t>
      </w:r>
      <w:r w:rsidRPr="00426084">
        <w:rPr>
          <w:rFonts w:ascii="Arial" w:hAnsi="Arial" w:cs="Arial"/>
          <w:sz w:val="28"/>
          <w:szCs w:val="28"/>
        </w:rPr>
        <w:t>$</w:t>
      </w:r>
      <w:r w:rsidRPr="00426084">
        <w:rPr>
          <w:rFonts w:ascii="Arial" w:hAnsi="Arial" w:cs="Arial"/>
          <w:spacing w:val="12"/>
          <w:sz w:val="28"/>
          <w:szCs w:val="28"/>
        </w:rPr>
        <w:t xml:space="preserve"> </w:t>
      </w:r>
      <w:r w:rsidRPr="00426084">
        <w:rPr>
          <w:rFonts w:ascii="Arial" w:hAnsi="Arial" w:cs="Arial"/>
          <w:spacing w:val="1"/>
          <w:sz w:val="28"/>
          <w:szCs w:val="28"/>
        </w:rPr>
        <w:t>792</w:t>
      </w:r>
      <w:r w:rsidRPr="00426084">
        <w:rPr>
          <w:rFonts w:ascii="Arial" w:hAnsi="Arial" w:cs="Arial"/>
          <w:spacing w:val="-5"/>
          <w:w w:val="99"/>
          <w:sz w:val="28"/>
          <w:szCs w:val="28"/>
        </w:rPr>
        <w:t>,</w:t>
      </w:r>
      <w:r w:rsidRPr="00426084">
        <w:rPr>
          <w:rFonts w:ascii="Arial" w:hAnsi="Arial" w:cs="Arial"/>
          <w:spacing w:val="1"/>
          <w:sz w:val="28"/>
          <w:szCs w:val="28"/>
        </w:rPr>
        <w:t>760</w:t>
      </w:r>
      <w:r w:rsidRPr="00426084">
        <w:rPr>
          <w:rFonts w:ascii="Arial" w:hAnsi="Arial" w:cs="Arial"/>
          <w:spacing w:val="-5"/>
          <w:w w:val="99"/>
          <w:sz w:val="28"/>
          <w:szCs w:val="28"/>
        </w:rPr>
        <w:t>,</w:t>
      </w:r>
      <w:r w:rsidRPr="00426084">
        <w:rPr>
          <w:rFonts w:ascii="Arial" w:hAnsi="Arial" w:cs="Arial"/>
          <w:spacing w:val="1"/>
          <w:sz w:val="28"/>
          <w:szCs w:val="28"/>
        </w:rPr>
        <w:t>580</w:t>
      </w:r>
      <w:r w:rsidRPr="00426084">
        <w:rPr>
          <w:rFonts w:ascii="Arial" w:hAnsi="Arial" w:cs="Arial"/>
          <w:spacing w:val="-5"/>
          <w:w w:val="99"/>
          <w:sz w:val="28"/>
          <w:szCs w:val="28"/>
        </w:rPr>
        <w:t>.</w:t>
      </w:r>
      <w:r w:rsidRPr="00426084">
        <w:rPr>
          <w:rFonts w:ascii="Arial" w:hAnsi="Arial" w:cs="Arial"/>
          <w:spacing w:val="1"/>
          <w:sz w:val="28"/>
          <w:szCs w:val="28"/>
        </w:rPr>
        <w:t>0</w:t>
      </w:r>
      <w:r w:rsidRPr="00426084">
        <w:rPr>
          <w:rFonts w:ascii="Arial" w:hAnsi="Arial" w:cs="Arial"/>
          <w:sz w:val="28"/>
          <w:szCs w:val="28"/>
        </w:rPr>
        <w:t>0</w:t>
      </w:r>
      <w:r w:rsidRPr="00426084">
        <w:rPr>
          <w:rFonts w:ascii="Arial" w:hAnsi="Arial" w:cs="Arial"/>
          <w:spacing w:val="14"/>
          <w:sz w:val="28"/>
          <w:szCs w:val="28"/>
        </w:rPr>
        <w:t xml:space="preserve"> </w:t>
      </w:r>
      <w:r w:rsidRPr="00426084">
        <w:rPr>
          <w:rFonts w:ascii="Arial" w:hAnsi="Arial" w:cs="Arial"/>
          <w:spacing w:val="-3"/>
          <w:sz w:val="28"/>
          <w:szCs w:val="28"/>
        </w:rPr>
        <w:t>(</w:t>
      </w:r>
      <w:r w:rsidRPr="00426084">
        <w:rPr>
          <w:rFonts w:ascii="Arial" w:hAnsi="Arial" w:cs="Arial"/>
          <w:spacing w:val="-2"/>
          <w:sz w:val="28"/>
          <w:szCs w:val="28"/>
        </w:rPr>
        <w:t>s</w:t>
      </w:r>
      <w:r w:rsidRPr="00426084">
        <w:rPr>
          <w:rFonts w:ascii="Arial" w:hAnsi="Arial" w:cs="Arial"/>
          <w:spacing w:val="2"/>
          <w:w w:val="99"/>
          <w:sz w:val="28"/>
          <w:szCs w:val="28"/>
        </w:rPr>
        <w:t>e</w:t>
      </w:r>
      <w:r w:rsidRPr="00426084">
        <w:rPr>
          <w:rFonts w:ascii="Arial" w:hAnsi="Arial" w:cs="Arial"/>
          <w:w w:val="99"/>
          <w:sz w:val="28"/>
          <w:szCs w:val="28"/>
        </w:rPr>
        <w:t>t</w:t>
      </w:r>
      <w:r w:rsidRPr="00426084">
        <w:rPr>
          <w:rFonts w:ascii="Arial" w:hAnsi="Arial" w:cs="Arial"/>
          <w:spacing w:val="2"/>
          <w:w w:val="99"/>
          <w:sz w:val="28"/>
          <w:szCs w:val="28"/>
        </w:rPr>
        <w:t>e</w:t>
      </w:r>
      <w:r w:rsidRPr="00426084">
        <w:rPr>
          <w:rFonts w:ascii="Arial" w:hAnsi="Arial" w:cs="Arial"/>
          <w:spacing w:val="-2"/>
          <w:w w:val="99"/>
          <w:sz w:val="28"/>
          <w:szCs w:val="28"/>
        </w:rPr>
        <w:t>c</w:t>
      </w:r>
      <w:r w:rsidRPr="00426084">
        <w:rPr>
          <w:rFonts w:ascii="Arial" w:hAnsi="Arial" w:cs="Arial"/>
          <w:spacing w:val="-5"/>
          <w:sz w:val="28"/>
          <w:szCs w:val="28"/>
        </w:rPr>
        <w:t>i</w:t>
      </w:r>
      <w:r w:rsidRPr="00426084">
        <w:rPr>
          <w:rFonts w:ascii="Arial" w:hAnsi="Arial" w:cs="Arial"/>
          <w:spacing w:val="2"/>
          <w:w w:val="99"/>
          <w:sz w:val="28"/>
          <w:szCs w:val="28"/>
        </w:rPr>
        <w:t>en</w:t>
      </w:r>
      <w:r w:rsidRPr="00426084">
        <w:rPr>
          <w:rFonts w:ascii="Arial" w:hAnsi="Arial" w:cs="Arial"/>
          <w:w w:val="99"/>
          <w:sz w:val="28"/>
          <w:szCs w:val="28"/>
        </w:rPr>
        <w:t>t</w:t>
      </w:r>
      <w:r w:rsidRPr="00426084">
        <w:rPr>
          <w:rFonts w:ascii="Arial" w:hAnsi="Arial" w:cs="Arial"/>
          <w:spacing w:val="1"/>
          <w:w w:val="99"/>
          <w:sz w:val="28"/>
          <w:szCs w:val="28"/>
        </w:rPr>
        <w:t>o</w:t>
      </w:r>
      <w:r w:rsidRPr="00426084">
        <w:rPr>
          <w:rFonts w:ascii="Arial" w:hAnsi="Arial" w:cs="Arial"/>
          <w:sz w:val="28"/>
          <w:szCs w:val="28"/>
        </w:rPr>
        <w:t>s</w:t>
      </w:r>
      <w:r w:rsidRPr="00426084">
        <w:rPr>
          <w:rFonts w:ascii="Arial" w:hAnsi="Arial" w:cs="Arial"/>
          <w:spacing w:val="8"/>
          <w:sz w:val="28"/>
          <w:szCs w:val="28"/>
        </w:rPr>
        <w:t xml:space="preserve"> </w:t>
      </w:r>
      <w:r w:rsidRPr="00426084">
        <w:rPr>
          <w:rFonts w:ascii="Arial" w:hAnsi="Arial" w:cs="Arial"/>
          <w:spacing w:val="2"/>
          <w:w w:val="99"/>
          <w:sz w:val="28"/>
          <w:szCs w:val="28"/>
        </w:rPr>
        <w:t>n</w:t>
      </w:r>
      <w:r w:rsidRPr="00426084">
        <w:rPr>
          <w:rFonts w:ascii="Arial" w:hAnsi="Arial" w:cs="Arial"/>
          <w:spacing w:val="1"/>
          <w:w w:val="99"/>
          <w:sz w:val="28"/>
          <w:szCs w:val="28"/>
        </w:rPr>
        <w:t>o</w:t>
      </w:r>
      <w:r w:rsidRPr="00426084">
        <w:rPr>
          <w:rFonts w:ascii="Arial" w:hAnsi="Arial" w:cs="Arial"/>
          <w:spacing w:val="1"/>
          <w:sz w:val="28"/>
          <w:szCs w:val="28"/>
        </w:rPr>
        <w:t>v</w:t>
      </w:r>
      <w:r w:rsidRPr="00426084">
        <w:rPr>
          <w:rFonts w:ascii="Arial" w:hAnsi="Arial" w:cs="Arial"/>
          <w:spacing w:val="-3"/>
          <w:w w:val="99"/>
          <w:sz w:val="28"/>
          <w:szCs w:val="28"/>
        </w:rPr>
        <w:t>e</w:t>
      </w:r>
      <w:r w:rsidRPr="00426084">
        <w:rPr>
          <w:rFonts w:ascii="Arial" w:hAnsi="Arial" w:cs="Arial"/>
          <w:spacing w:val="2"/>
          <w:w w:val="99"/>
          <w:sz w:val="28"/>
          <w:szCs w:val="28"/>
        </w:rPr>
        <w:t>n</w:t>
      </w:r>
      <w:r w:rsidRPr="00426084">
        <w:rPr>
          <w:rFonts w:ascii="Arial" w:hAnsi="Arial" w:cs="Arial"/>
          <w:w w:val="99"/>
          <w:sz w:val="28"/>
          <w:szCs w:val="28"/>
        </w:rPr>
        <w:t>ta</w:t>
      </w:r>
      <w:r w:rsidRPr="00426084">
        <w:rPr>
          <w:rFonts w:ascii="Arial" w:hAnsi="Arial" w:cs="Arial"/>
          <w:spacing w:val="9"/>
          <w:w w:val="99"/>
          <w:sz w:val="28"/>
          <w:szCs w:val="28"/>
        </w:rPr>
        <w:t xml:space="preserve"> </w:t>
      </w:r>
      <w:r w:rsidRPr="00426084">
        <w:rPr>
          <w:rFonts w:ascii="Arial" w:hAnsi="Arial" w:cs="Arial"/>
          <w:sz w:val="28"/>
          <w:szCs w:val="28"/>
        </w:rPr>
        <w:t xml:space="preserve">y </w:t>
      </w:r>
      <w:r w:rsidRPr="00426084">
        <w:rPr>
          <w:rFonts w:ascii="Arial" w:hAnsi="Arial" w:cs="Arial"/>
          <w:spacing w:val="-2"/>
          <w:sz w:val="28"/>
          <w:szCs w:val="28"/>
        </w:rPr>
        <w:t>d</w:t>
      </w:r>
      <w:r w:rsidRPr="00426084">
        <w:rPr>
          <w:rFonts w:ascii="Arial" w:hAnsi="Arial" w:cs="Arial"/>
          <w:spacing w:val="1"/>
          <w:w w:val="99"/>
          <w:sz w:val="28"/>
          <w:szCs w:val="28"/>
        </w:rPr>
        <w:t>o</w:t>
      </w:r>
      <w:r w:rsidRPr="00426084">
        <w:rPr>
          <w:rFonts w:ascii="Arial" w:hAnsi="Arial" w:cs="Arial"/>
          <w:sz w:val="28"/>
          <w:szCs w:val="28"/>
        </w:rPr>
        <w:t>s</w:t>
      </w:r>
      <w:r w:rsidR="00426084" w:rsidRPr="00426084">
        <w:rPr>
          <w:rFonts w:ascii="Arial" w:hAnsi="Arial" w:cs="Arial"/>
          <w:sz w:val="28"/>
          <w:szCs w:val="28"/>
        </w:rPr>
        <w:t xml:space="preserve"> </w:t>
      </w:r>
      <w:r w:rsidR="00426084" w:rsidRPr="00426084">
        <w:rPr>
          <w:rFonts w:ascii="Arial" w:hAnsi="Arial" w:cs="Arial"/>
          <w:spacing w:val="5"/>
          <w:sz w:val="28"/>
          <w:szCs w:val="28"/>
        </w:rPr>
        <w:t>m</w:t>
      </w:r>
      <w:r w:rsidR="00426084" w:rsidRPr="00426084">
        <w:rPr>
          <w:rFonts w:ascii="Arial" w:hAnsi="Arial" w:cs="Arial"/>
          <w:spacing w:val="-5"/>
          <w:sz w:val="28"/>
          <w:szCs w:val="28"/>
        </w:rPr>
        <w:t>i</w:t>
      </w:r>
      <w:r w:rsidR="00426084" w:rsidRPr="00426084">
        <w:rPr>
          <w:rFonts w:ascii="Arial" w:hAnsi="Arial" w:cs="Arial"/>
          <w:spacing w:val="4"/>
          <w:sz w:val="28"/>
          <w:szCs w:val="28"/>
        </w:rPr>
        <w:t>l</w:t>
      </w:r>
      <w:r w:rsidR="00426084" w:rsidRPr="00426084">
        <w:rPr>
          <w:rFonts w:ascii="Arial" w:hAnsi="Arial" w:cs="Arial"/>
          <w:spacing w:val="-1"/>
          <w:w w:val="99"/>
          <w:sz w:val="28"/>
          <w:szCs w:val="28"/>
        </w:rPr>
        <w:t>l</w:t>
      </w:r>
      <w:r w:rsidR="00426084" w:rsidRPr="00426084">
        <w:rPr>
          <w:rFonts w:ascii="Arial" w:hAnsi="Arial" w:cs="Arial"/>
          <w:w w:val="99"/>
          <w:sz w:val="28"/>
          <w:szCs w:val="28"/>
        </w:rPr>
        <w:t>o</w:t>
      </w:r>
      <w:r w:rsidR="00426084" w:rsidRPr="00426084">
        <w:rPr>
          <w:rFonts w:ascii="Arial" w:hAnsi="Arial" w:cs="Arial"/>
          <w:spacing w:val="-3"/>
          <w:w w:val="99"/>
          <w:sz w:val="28"/>
          <w:szCs w:val="28"/>
        </w:rPr>
        <w:t>n</w:t>
      </w:r>
      <w:r w:rsidR="00426084" w:rsidRPr="00426084">
        <w:rPr>
          <w:rFonts w:ascii="Arial" w:hAnsi="Arial" w:cs="Arial"/>
          <w:spacing w:val="2"/>
          <w:w w:val="99"/>
          <w:sz w:val="28"/>
          <w:szCs w:val="28"/>
        </w:rPr>
        <w:t>e</w:t>
      </w:r>
      <w:r w:rsidR="00426084" w:rsidRPr="00426084">
        <w:rPr>
          <w:rFonts w:ascii="Arial" w:hAnsi="Arial" w:cs="Arial"/>
          <w:sz w:val="28"/>
          <w:szCs w:val="28"/>
        </w:rPr>
        <w:t xml:space="preserve">s </w:t>
      </w:r>
      <w:r w:rsidR="00426084" w:rsidRPr="00426084">
        <w:rPr>
          <w:rFonts w:ascii="Arial" w:hAnsi="Arial" w:cs="Arial"/>
          <w:spacing w:val="-1"/>
          <w:sz w:val="28"/>
          <w:szCs w:val="28"/>
        </w:rPr>
        <w:t>setecientos</w:t>
      </w:r>
      <w:r w:rsidR="00426084" w:rsidRPr="00426084">
        <w:rPr>
          <w:rFonts w:ascii="Arial" w:hAnsi="Arial" w:cs="Arial"/>
          <w:sz w:val="28"/>
          <w:szCs w:val="28"/>
        </w:rPr>
        <w:t xml:space="preserve"> </w:t>
      </w:r>
      <w:r w:rsidR="00426084" w:rsidRPr="00426084">
        <w:rPr>
          <w:rFonts w:ascii="Arial" w:hAnsi="Arial" w:cs="Arial"/>
          <w:spacing w:val="-1"/>
          <w:sz w:val="28"/>
          <w:szCs w:val="28"/>
        </w:rPr>
        <w:t>sesenta</w:t>
      </w:r>
      <w:r w:rsidR="00426084" w:rsidRPr="00426084">
        <w:rPr>
          <w:rFonts w:ascii="Arial" w:hAnsi="Arial" w:cs="Arial"/>
          <w:w w:val="99"/>
          <w:sz w:val="28"/>
          <w:szCs w:val="28"/>
        </w:rPr>
        <w:t xml:space="preserve"> mil</w:t>
      </w:r>
      <w:r w:rsidR="00426084" w:rsidRPr="00426084">
        <w:rPr>
          <w:rFonts w:ascii="Arial" w:hAnsi="Arial" w:cs="Arial"/>
          <w:sz w:val="28"/>
          <w:szCs w:val="28"/>
        </w:rPr>
        <w:t xml:space="preserve"> </w:t>
      </w:r>
      <w:r w:rsidR="00426084" w:rsidRPr="00426084">
        <w:rPr>
          <w:rFonts w:ascii="Arial" w:hAnsi="Arial" w:cs="Arial"/>
          <w:spacing w:val="5"/>
          <w:sz w:val="28"/>
          <w:szCs w:val="28"/>
        </w:rPr>
        <w:t>quinientos</w:t>
      </w:r>
      <w:r w:rsidR="00426084" w:rsidRPr="00426084">
        <w:rPr>
          <w:rFonts w:ascii="Arial" w:hAnsi="Arial" w:cs="Arial"/>
          <w:sz w:val="28"/>
          <w:szCs w:val="28"/>
        </w:rPr>
        <w:t xml:space="preserve"> </w:t>
      </w:r>
      <w:r w:rsidR="00426084" w:rsidRPr="00426084">
        <w:rPr>
          <w:rFonts w:ascii="Arial" w:hAnsi="Arial" w:cs="Arial"/>
          <w:spacing w:val="-1"/>
          <w:sz w:val="28"/>
          <w:szCs w:val="28"/>
        </w:rPr>
        <w:t>ochenta</w:t>
      </w:r>
      <w:r w:rsidRPr="00426084">
        <w:rPr>
          <w:rFonts w:ascii="Arial" w:hAnsi="Arial" w:cs="Arial"/>
          <w:w w:val="99"/>
          <w:sz w:val="28"/>
          <w:szCs w:val="28"/>
        </w:rPr>
        <w:t xml:space="preserve"> </w:t>
      </w:r>
      <w:r w:rsidRPr="00426084">
        <w:rPr>
          <w:rFonts w:ascii="Arial" w:hAnsi="Arial" w:cs="Arial"/>
          <w:spacing w:val="3"/>
          <w:sz w:val="28"/>
          <w:szCs w:val="28"/>
        </w:rPr>
        <w:t>p</w:t>
      </w:r>
      <w:r w:rsidRPr="00426084">
        <w:rPr>
          <w:rFonts w:ascii="Arial" w:hAnsi="Arial" w:cs="Arial"/>
          <w:spacing w:val="2"/>
          <w:w w:val="99"/>
          <w:sz w:val="28"/>
          <w:szCs w:val="28"/>
        </w:rPr>
        <w:t>e</w:t>
      </w:r>
      <w:r w:rsidRPr="00426084">
        <w:rPr>
          <w:rFonts w:ascii="Arial" w:hAnsi="Arial" w:cs="Arial"/>
          <w:spacing w:val="-2"/>
          <w:sz w:val="28"/>
          <w:szCs w:val="28"/>
        </w:rPr>
        <w:t>s</w:t>
      </w:r>
      <w:r w:rsidRPr="00426084">
        <w:rPr>
          <w:rFonts w:ascii="Arial" w:hAnsi="Arial" w:cs="Arial"/>
          <w:spacing w:val="1"/>
          <w:w w:val="99"/>
          <w:sz w:val="28"/>
          <w:szCs w:val="28"/>
        </w:rPr>
        <w:t>o</w:t>
      </w:r>
      <w:r w:rsidRPr="00426084">
        <w:rPr>
          <w:rFonts w:ascii="Arial" w:hAnsi="Arial" w:cs="Arial"/>
          <w:sz w:val="28"/>
          <w:szCs w:val="28"/>
        </w:rPr>
        <w:t xml:space="preserve">s </w:t>
      </w:r>
      <w:r w:rsidRPr="00426084">
        <w:rPr>
          <w:rFonts w:ascii="Arial" w:hAnsi="Arial" w:cs="Arial"/>
          <w:spacing w:val="1"/>
          <w:sz w:val="28"/>
          <w:szCs w:val="28"/>
        </w:rPr>
        <w:t>00</w:t>
      </w:r>
      <w:r w:rsidRPr="00426084">
        <w:rPr>
          <w:rFonts w:ascii="Arial" w:hAnsi="Arial" w:cs="Arial"/>
          <w:sz w:val="28"/>
          <w:szCs w:val="28"/>
        </w:rPr>
        <w:t>/</w:t>
      </w:r>
      <w:r w:rsidRPr="00426084">
        <w:rPr>
          <w:rFonts w:ascii="Arial" w:hAnsi="Arial" w:cs="Arial"/>
          <w:spacing w:val="1"/>
          <w:sz w:val="28"/>
          <w:szCs w:val="28"/>
        </w:rPr>
        <w:t>1</w:t>
      </w:r>
      <w:r w:rsidRPr="00426084">
        <w:rPr>
          <w:rFonts w:ascii="Arial" w:hAnsi="Arial" w:cs="Arial"/>
          <w:spacing w:val="-4"/>
          <w:sz w:val="28"/>
          <w:szCs w:val="28"/>
        </w:rPr>
        <w:t>0</w:t>
      </w:r>
      <w:r w:rsidRPr="00426084">
        <w:rPr>
          <w:rFonts w:ascii="Arial" w:hAnsi="Arial" w:cs="Arial"/>
          <w:sz w:val="28"/>
          <w:szCs w:val="28"/>
        </w:rPr>
        <w:t xml:space="preserve">0 </w:t>
      </w:r>
      <w:r w:rsidRPr="00426084">
        <w:rPr>
          <w:rFonts w:ascii="Arial" w:hAnsi="Arial" w:cs="Arial"/>
          <w:w w:val="99"/>
          <w:sz w:val="28"/>
          <w:szCs w:val="28"/>
        </w:rPr>
        <w:t>M</w:t>
      </w:r>
      <w:r w:rsidRPr="00426084">
        <w:rPr>
          <w:rFonts w:ascii="Arial" w:hAnsi="Arial" w:cs="Arial"/>
          <w:spacing w:val="-4"/>
          <w:w w:val="99"/>
          <w:sz w:val="28"/>
          <w:szCs w:val="28"/>
        </w:rPr>
        <w:t>.</w:t>
      </w:r>
      <w:r w:rsidRPr="00426084">
        <w:rPr>
          <w:rFonts w:ascii="Arial" w:hAnsi="Arial" w:cs="Arial"/>
          <w:w w:val="99"/>
          <w:sz w:val="28"/>
          <w:szCs w:val="28"/>
        </w:rPr>
        <w:t>N.</w:t>
      </w:r>
      <w:r w:rsidRPr="00426084">
        <w:rPr>
          <w:rFonts w:ascii="Arial" w:hAnsi="Arial" w:cs="Arial"/>
          <w:spacing w:val="2"/>
          <w:sz w:val="28"/>
          <w:szCs w:val="28"/>
        </w:rPr>
        <w:t>)</w:t>
      </w:r>
      <w:r w:rsidRPr="00426084">
        <w:rPr>
          <w:rFonts w:ascii="Arial" w:hAnsi="Arial" w:cs="Arial"/>
          <w:w w:val="99"/>
          <w:sz w:val="28"/>
          <w:szCs w:val="28"/>
        </w:rPr>
        <w:t xml:space="preserve">, </w:t>
      </w:r>
      <w:r w:rsidRPr="00426084">
        <w:rPr>
          <w:rFonts w:ascii="Arial" w:hAnsi="Arial" w:cs="Arial"/>
          <w:spacing w:val="-2"/>
          <w:sz w:val="28"/>
          <w:szCs w:val="28"/>
        </w:rPr>
        <w:t>d</w:t>
      </w:r>
      <w:r w:rsidRPr="00426084">
        <w:rPr>
          <w:rFonts w:ascii="Arial" w:hAnsi="Arial" w:cs="Arial"/>
          <w:spacing w:val="2"/>
          <w:w w:val="99"/>
          <w:sz w:val="28"/>
          <w:szCs w:val="28"/>
        </w:rPr>
        <w:t>e</w:t>
      </w:r>
      <w:r w:rsidRPr="00426084">
        <w:rPr>
          <w:rFonts w:ascii="Arial" w:hAnsi="Arial" w:cs="Arial"/>
          <w:spacing w:val="-2"/>
          <w:sz w:val="28"/>
          <w:szCs w:val="28"/>
        </w:rPr>
        <w:t>s</w:t>
      </w:r>
      <w:r w:rsidRPr="00426084">
        <w:rPr>
          <w:rFonts w:ascii="Arial" w:hAnsi="Arial" w:cs="Arial"/>
          <w:spacing w:val="1"/>
          <w:w w:val="99"/>
          <w:sz w:val="28"/>
          <w:szCs w:val="28"/>
        </w:rPr>
        <w:t>g</w:t>
      </w:r>
      <w:r w:rsidRPr="00426084">
        <w:rPr>
          <w:rFonts w:ascii="Arial" w:hAnsi="Arial" w:cs="Arial"/>
          <w:spacing w:val="4"/>
          <w:sz w:val="28"/>
          <w:szCs w:val="28"/>
        </w:rPr>
        <w:t>l</w:t>
      </w:r>
      <w:r w:rsidRPr="00426084">
        <w:rPr>
          <w:rFonts w:ascii="Arial" w:hAnsi="Arial" w:cs="Arial"/>
          <w:spacing w:val="1"/>
          <w:w w:val="99"/>
          <w:sz w:val="28"/>
          <w:szCs w:val="28"/>
        </w:rPr>
        <w:t>o</w:t>
      </w:r>
      <w:r w:rsidRPr="00426084">
        <w:rPr>
          <w:rFonts w:ascii="Arial" w:hAnsi="Arial" w:cs="Arial"/>
          <w:spacing w:val="-2"/>
          <w:sz w:val="28"/>
          <w:szCs w:val="28"/>
        </w:rPr>
        <w:t>s</w:t>
      </w:r>
      <w:r w:rsidRPr="00426084">
        <w:rPr>
          <w:rFonts w:ascii="Arial" w:hAnsi="Arial" w:cs="Arial"/>
          <w:spacing w:val="-1"/>
          <w:sz w:val="28"/>
          <w:szCs w:val="28"/>
        </w:rPr>
        <w:t>a</w:t>
      </w:r>
      <w:r w:rsidRPr="00426084">
        <w:rPr>
          <w:rFonts w:ascii="Arial" w:hAnsi="Arial" w:cs="Arial"/>
          <w:spacing w:val="-2"/>
          <w:sz w:val="28"/>
          <w:szCs w:val="28"/>
        </w:rPr>
        <w:t>d</w:t>
      </w:r>
      <w:r w:rsidRPr="00426084">
        <w:rPr>
          <w:rFonts w:ascii="Arial" w:hAnsi="Arial" w:cs="Arial"/>
          <w:spacing w:val="1"/>
          <w:w w:val="99"/>
          <w:sz w:val="28"/>
          <w:szCs w:val="28"/>
        </w:rPr>
        <w:t>o</w:t>
      </w:r>
      <w:r w:rsidRPr="00426084">
        <w:rPr>
          <w:rFonts w:ascii="Arial" w:hAnsi="Arial" w:cs="Arial"/>
          <w:sz w:val="28"/>
          <w:szCs w:val="28"/>
        </w:rPr>
        <w:t>s</w:t>
      </w:r>
      <w:r w:rsidRPr="00426084">
        <w:rPr>
          <w:rFonts w:ascii="Arial" w:hAnsi="Arial" w:cs="Arial"/>
          <w:spacing w:val="-2"/>
          <w:sz w:val="28"/>
          <w:szCs w:val="28"/>
        </w:rPr>
        <w:t xml:space="preserve"> </w:t>
      </w:r>
      <w:r w:rsidRPr="00426084">
        <w:rPr>
          <w:rFonts w:ascii="Arial" w:hAnsi="Arial" w:cs="Arial"/>
          <w:spacing w:val="-1"/>
          <w:sz w:val="28"/>
          <w:szCs w:val="28"/>
        </w:rPr>
        <w:t>d</w:t>
      </w:r>
      <w:r w:rsidRPr="00426084">
        <w:rPr>
          <w:rFonts w:ascii="Arial" w:hAnsi="Arial" w:cs="Arial"/>
          <w:sz w:val="28"/>
          <w:szCs w:val="28"/>
        </w:rPr>
        <w:t>e</w:t>
      </w:r>
      <w:r w:rsidRPr="00426084">
        <w:rPr>
          <w:rFonts w:ascii="Arial" w:hAnsi="Arial" w:cs="Arial"/>
          <w:spacing w:val="-3"/>
          <w:sz w:val="28"/>
          <w:szCs w:val="28"/>
        </w:rPr>
        <w:t xml:space="preserve"> </w:t>
      </w:r>
      <w:r w:rsidRPr="00426084">
        <w:rPr>
          <w:rFonts w:ascii="Arial" w:hAnsi="Arial" w:cs="Arial"/>
          <w:spacing w:val="4"/>
          <w:sz w:val="28"/>
          <w:szCs w:val="28"/>
        </w:rPr>
        <w:t>l</w:t>
      </w:r>
      <w:r w:rsidRPr="00426084">
        <w:rPr>
          <w:rFonts w:ascii="Arial" w:hAnsi="Arial" w:cs="Arial"/>
          <w:sz w:val="28"/>
          <w:szCs w:val="28"/>
        </w:rPr>
        <w:t>a</w:t>
      </w:r>
      <w:r w:rsidRPr="00426084">
        <w:rPr>
          <w:rFonts w:ascii="Arial" w:hAnsi="Arial" w:cs="Arial"/>
          <w:spacing w:val="-1"/>
          <w:sz w:val="28"/>
          <w:szCs w:val="28"/>
        </w:rPr>
        <w:t xml:space="preserve"> </w:t>
      </w:r>
      <w:r w:rsidRPr="00426084">
        <w:rPr>
          <w:rFonts w:ascii="Arial" w:hAnsi="Arial" w:cs="Arial"/>
          <w:spacing w:val="-2"/>
          <w:sz w:val="28"/>
          <w:szCs w:val="28"/>
        </w:rPr>
        <w:t>s</w:t>
      </w:r>
      <w:r w:rsidRPr="00426084">
        <w:rPr>
          <w:rFonts w:ascii="Arial" w:hAnsi="Arial" w:cs="Arial"/>
          <w:spacing w:val="-5"/>
          <w:sz w:val="28"/>
          <w:szCs w:val="28"/>
        </w:rPr>
        <w:t>i</w:t>
      </w:r>
      <w:r w:rsidRPr="00426084">
        <w:rPr>
          <w:rFonts w:ascii="Arial" w:hAnsi="Arial" w:cs="Arial"/>
          <w:spacing w:val="1"/>
          <w:w w:val="99"/>
          <w:sz w:val="28"/>
          <w:szCs w:val="28"/>
        </w:rPr>
        <w:t>g</w:t>
      </w:r>
      <w:r w:rsidRPr="00426084">
        <w:rPr>
          <w:rFonts w:ascii="Arial" w:hAnsi="Arial" w:cs="Arial"/>
          <w:spacing w:val="-2"/>
          <w:w w:val="99"/>
          <w:sz w:val="28"/>
          <w:szCs w:val="28"/>
        </w:rPr>
        <w:t>u</w:t>
      </w:r>
      <w:r w:rsidRPr="00426084">
        <w:rPr>
          <w:rFonts w:ascii="Arial" w:hAnsi="Arial" w:cs="Arial"/>
          <w:spacing w:val="-5"/>
          <w:sz w:val="28"/>
          <w:szCs w:val="28"/>
        </w:rPr>
        <w:t>i</w:t>
      </w:r>
      <w:r w:rsidRPr="00426084">
        <w:rPr>
          <w:rFonts w:ascii="Arial" w:hAnsi="Arial" w:cs="Arial"/>
          <w:spacing w:val="2"/>
          <w:w w:val="99"/>
          <w:sz w:val="28"/>
          <w:szCs w:val="28"/>
        </w:rPr>
        <w:t>en</w:t>
      </w:r>
      <w:r w:rsidRPr="00426084">
        <w:rPr>
          <w:rFonts w:ascii="Arial" w:hAnsi="Arial" w:cs="Arial"/>
          <w:w w:val="99"/>
          <w:sz w:val="28"/>
          <w:szCs w:val="28"/>
        </w:rPr>
        <w:t>te</w:t>
      </w:r>
      <w:r w:rsidRPr="00426084">
        <w:rPr>
          <w:rFonts w:ascii="Arial" w:hAnsi="Arial" w:cs="Arial"/>
          <w:spacing w:val="2"/>
          <w:sz w:val="28"/>
          <w:szCs w:val="28"/>
        </w:rPr>
        <w:t xml:space="preserve"> </w:t>
      </w:r>
      <w:r w:rsidRPr="00426084">
        <w:rPr>
          <w:rFonts w:ascii="Arial" w:hAnsi="Arial" w:cs="Arial"/>
          <w:sz w:val="28"/>
          <w:szCs w:val="28"/>
        </w:rPr>
        <w:t>m</w:t>
      </w:r>
      <w:r w:rsidRPr="00426084">
        <w:rPr>
          <w:rFonts w:ascii="Arial" w:hAnsi="Arial" w:cs="Arial"/>
          <w:spacing w:val="-1"/>
          <w:sz w:val="28"/>
          <w:szCs w:val="28"/>
        </w:rPr>
        <w:t>a</w:t>
      </w:r>
      <w:r w:rsidRPr="00426084">
        <w:rPr>
          <w:rFonts w:ascii="Arial" w:hAnsi="Arial" w:cs="Arial"/>
          <w:spacing w:val="2"/>
          <w:w w:val="99"/>
          <w:sz w:val="28"/>
          <w:szCs w:val="28"/>
        </w:rPr>
        <w:t>ne</w:t>
      </w:r>
      <w:r w:rsidRPr="00426084">
        <w:rPr>
          <w:rFonts w:ascii="Arial" w:hAnsi="Arial" w:cs="Arial"/>
          <w:w w:val="99"/>
          <w:sz w:val="28"/>
          <w:szCs w:val="28"/>
        </w:rPr>
        <w:t>r</w:t>
      </w:r>
      <w:r w:rsidRPr="00426084">
        <w:rPr>
          <w:rFonts w:ascii="Arial" w:hAnsi="Arial" w:cs="Arial"/>
          <w:spacing w:val="-1"/>
          <w:w w:val="99"/>
          <w:sz w:val="28"/>
          <w:szCs w:val="28"/>
        </w:rPr>
        <w:t>a</w:t>
      </w:r>
      <w:r w:rsidRPr="00426084">
        <w:rPr>
          <w:rFonts w:ascii="Arial" w:hAnsi="Arial" w:cs="Arial"/>
          <w:w w:val="99"/>
          <w:sz w:val="28"/>
          <w:szCs w:val="28"/>
        </w:rPr>
        <w:t>:</w:t>
      </w:r>
    </w:p>
    <w:tbl>
      <w:tblPr>
        <w:tblStyle w:val="TableNormal"/>
        <w:tblpPr w:leftFromText="141" w:rightFromText="141" w:vertAnchor="text" w:horzAnchor="margin" w:tblpXSpec="center" w:tblpY="3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2"/>
        <w:gridCol w:w="1983"/>
        <w:gridCol w:w="3543"/>
      </w:tblGrid>
      <w:tr w:rsidR="00F058F1" w14:paraId="79276870" w14:textId="77777777" w:rsidTr="00F058F1">
        <w:trPr>
          <w:trHeight w:val="537"/>
        </w:trPr>
        <w:tc>
          <w:tcPr>
            <w:tcW w:w="3832" w:type="dxa"/>
            <w:shd w:val="clear" w:color="auto" w:fill="D9D9D9"/>
          </w:tcPr>
          <w:p w14:paraId="1AB66325" w14:textId="5E262242" w:rsidR="00F058F1" w:rsidRDefault="00F058F1" w:rsidP="00F058F1">
            <w:pPr>
              <w:pStyle w:val="TableParagraph"/>
              <w:spacing w:before="44"/>
              <w:ind w:left="71"/>
              <w:rPr>
                <w:b/>
                <w:sz w:val="24"/>
              </w:rPr>
            </w:pPr>
            <w:r>
              <w:rPr>
                <w:b/>
                <w:sz w:val="24"/>
              </w:rPr>
              <w:lastRenderedPageBreak/>
              <w:t>PODER EJECUTIVO</w:t>
            </w:r>
          </w:p>
        </w:tc>
        <w:tc>
          <w:tcPr>
            <w:tcW w:w="1983" w:type="dxa"/>
            <w:vMerge w:val="restart"/>
            <w:shd w:val="clear" w:color="auto" w:fill="D9D9D9"/>
          </w:tcPr>
          <w:p w14:paraId="62063FA8" w14:textId="77777777" w:rsidR="00F058F1" w:rsidRDefault="00F058F1" w:rsidP="00F058F1">
            <w:pPr>
              <w:pStyle w:val="TableParagraph"/>
              <w:spacing w:before="2"/>
              <w:rPr>
                <w:sz w:val="24"/>
              </w:rPr>
            </w:pPr>
          </w:p>
          <w:p w14:paraId="24C504BC" w14:textId="77777777" w:rsidR="00F058F1" w:rsidRPr="00F058F1" w:rsidRDefault="00F058F1" w:rsidP="00F058F1">
            <w:pPr>
              <w:rPr>
                <w:rFonts w:eastAsia="Times New Roman" w:cs="Calibri"/>
                <w:b/>
                <w:bCs/>
                <w:color w:val="000000"/>
                <w:lang w:val="es-MX"/>
              </w:rPr>
            </w:pPr>
            <w:r>
              <w:rPr>
                <w:rFonts w:ascii="TeXGyreAdventor" w:hAnsi="TeXGyreAdventor" w:cs="Calibri"/>
                <w:color w:val="000000"/>
              </w:rPr>
              <w:t xml:space="preserve">       </w:t>
            </w:r>
            <w:r w:rsidRPr="00F058F1">
              <w:rPr>
                <w:rFonts w:ascii="TeXGyreAdventor" w:hAnsi="TeXGyreAdventor" w:cs="Calibri"/>
                <w:b/>
                <w:bCs/>
                <w:color w:val="000000"/>
              </w:rPr>
              <w:t>175,089,147.20</w:t>
            </w:r>
          </w:p>
          <w:p w14:paraId="35536349" w14:textId="77777777" w:rsidR="00F058F1" w:rsidRDefault="00F058F1" w:rsidP="00F058F1">
            <w:pPr>
              <w:pStyle w:val="TableParagraph"/>
              <w:ind w:left="230"/>
              <w:rPr>
                <w:b/>
                <w:sz w:val="24"/>
              </w:rPr>
            </w:pPr>
          </w:p>
        </w:tc>
        <w:tc>
          <w:tcPr>
            <w:tcW w:w="3543" w:type="dxa"/>
            <w:vMerge w:val="restart"/>
            <w:shd w:val="clear" w:color="auto" w:fill="D9D9D9"/>
          </w:tcPr>
          <w:p w14:paraId="5B14A9D4" w14:textId="77777777" w:rsidR="00F058F1" w:rsidRDefault="00F058F1" w:rsidP="00F058F1">
            <w:pPr>
              <w:pStyle w:val="TableParagraph"/>
              <w:spacing w:before="2"/>
              <w:rPr>
                <w:sz w:val="24"/>
              </w:rPr>
            </w:pPr>
          </w:p>
          <w:p w14:paraId="42C420B4" w14:textId="77777777" w:rsidR="00F058F1" w:rsidRDefault="00F058F1" w:rsidP="00F058F1">
            <w:pPr>
              <w:pStyle w:val="TableParagraph"/>
              <w:ind w:left="1113"/>
              <w:rPr>
                <w:b/>
                <w:sz w:val="24"/>
              </w:rPr>
            </w:pPr>
            <w:r>
              <w:rPr>
                <w:b/>
                <w:sz w:val="24"/>
              </w:rPr>
              <w:t>CONCEPTO</w:t>
            </w:r>
          </w:p>
        </w:tc>
      </w:tr>
      <w:tr w:rsidR="00F058F1" w14:paraId="17DCAD63" w14:textId="77777777" w:rsidTr="00F058F1">
        <w:trPr>
          <w:trHeight w:val="613"/>
        </w:trPr>
        <w:tc>
          <w:tcPr>
            <w:tcW w:w="3832" w:type="dxa"/>
            <w:shd w:val="clear" w:color="auto" w:fill="D9D9D9"/>
          </w:tcPr>
          <w:p w14:paraId="77DE82BA" w14:textId="77777777" w:rsidR="00F058F1" w:rsidRDefault="00F058F1" w:rsidP="00F058F1">
            <w:pPr>
              <w:pStyle w:val="TableParagraph"/>
              <w:spacing w:before="82"/>
              <w:ind w:left="71"/>
              <w:rPr>
                <w:b/>
                <w:sz w:val="24"/>
              </w:rPr>
            </w:pPr>
            <w:r>
              <w:rPr>
                <w:b/>
                <w:sz w:val="24"/>
              </w:rPr>
              <w:t>DEPENDENCIAS</w:t>
            </w:r>
          </w:p>
        </w:tc>
        <w:tc>
          <w:tcPr>
            <w:tcW w:w="1983" w:type="dxa"/>
            <w:vMerge/>
            <w:tcBorders>
              <w:top w:val="nil"/>
            </w:tcBorders>
            <w:shd w:val="clear" w:color="auto" w:fill="D9D9D9"/>
          </w:tcPr>
          <w:p w14:paraId="2E4A0518" w14:textId="77777777" w:rsidR="00F058F1" w:rsidRDefault="00F058F1" w:rsidP="00F058F1">
            <w:pPr>
              <w:rPr>
                <w:sz w:val="2"/>
                <w:szCs w:val="2"/>
              </w:rPr>
            </w:pPr>
          </w:p>
        </w:tc>
        <w:tc>
          <w:tcPr>
            <w:tcW w:w="3543" w:type="dxa"/>
            <w:vMerge/>
            <w:tcBorders>
              <w:top w:val="nil"/>
            </w:tcBorders>
            <w:shd w:val="clear" w:color="auto" w:fill="D9D9D9"/>
          </w:tcPr>
          <w:p w14:paraId="68B2365E" w14:textId="77777777" w:rsidR="00F058F1" w:rsidRDefault="00F058F1" w:rsidP="00F058F1">
            <w:pPr>
              <w:rPr>
                <w:sz w:val="2"/>
                <w:szCs w:val="2"/>
              </w:rPr>
            </w:pPr>
          </w:p>
        </w:tc>
      </w:tr>
      <w:tr w:rsidR="00F058F1" w14:paraId="64C9B98C" w14:textId="77777777" w:rsidTr="00F058F1">
        <w:trPr>
          <w:trHeight w:val="3629"/>
        </w:trPr>
        <w:tc>
          <w:tcPr>
            <w:tcW w:w="3832" w:type="dxa"/>
          </w:tcPr>
          <w:p w14:paraId="07F45E66" w14:textId="77777777" w:rsidR="00F058F1" w:rsidRDefault="00F058F1" w:rsidP="00F058F1">
            <w:pPr>
              <w:pStyle w:val="TableParagraph"/>
              <w:rPr>
                <w:sz w:val="28"/>
              </w:rPr>
            </w:pPr>
          </w:p>
          <w:p w14:paraId="44D621B5" w14:textId="77777777" w:rsidR="00F058F1" w:rsidRDefault="00F058F1" w:rsidP="00F058F1">
            <w:pPr>
              <w:pStyle w:val="TableParagraph"/>
              <w:rPr>
                <w:sz w:val="28"/>
              </w:rPr>
            </w:pPr>
          </w:p>
          <w:p w14:paraId="65D7EE80" w14:textId="77777777" w:rsidR="00F058F1" w:rsidRDefault="00F058F1" w:rsidP="00F058F1">
            <w:pPr>
              <w:pStyle w:val="TableParagraph"/>
              <w:spacing w:before="11"/>
              <w:rPr>
                <w:sz w:val="35"/>
              </w:rPr>
            </w:pPr>
          </w:p>
          <w:p w14:paraId="27E584DC" w14:textId="77777777" w:rsidR="00F058F1" w:rsidRPr="00426084" w:rsidRDefault="00F058F1" w:rsidP="00F058F1">
            <w:pPr>
              <w:pStyle w:val="TableParagraph"/>
              <w:spacing w:line="372" w:lineRule="auto"/>
              <w:ind w:left="71" w:right="1447"/>
              <w:rPr>
                <w:b/>
                <w:bCs/>
                <w:sz w:val="24"/>
              </w:rPr>
            </w:pPr>
            <w:r w:rsidRPr="00426084">
              <w:rPr>
                <w:b/>
                <w:bCs/>
                <w:sz w:val="24"/>
              </w:rPr>
              <w:t>Secretaría de Salud (ICHISAL)</w:t>
            </w:r>
          </w:p>
        </w:tc>
        <w:tc>
          <w:tcPr>
            <w:tcW w:w="1983" w:type="dxa"/>
          </w:tcPr>
          <w:p w14:paraId="2B26B607" w14:textId="77777777" w:rsidR="00F058F1" w:rsidRDefault="00F058F1" w:rsidP="00F058F1">
            <w:pPr>
              <w:pStyle w:val="TableParagraph"/>
              <w:rPr>
                <w:sz w:val="28"/>
              </w:rPr>
            </w:pPr>
          </w:p>
          <w:p w14:paraId="0721F6AD" w14:textId="77777777" w:rsidR="00F058F1" w:rsidRDefault="00F058F1" w:rsidP="00F058F1">
            <w:pPr>
              <w:pStyle w:val="TableParagraph"/>
              <w:rPr>
                <w:sz w:val="28"/>
              </w:rPr>
            </w:pPr>
          </w:p>
          <w:p w14:paraId="3D00ECF1" w14:textId="77777777" w:rsidR="00F058F1" w:rsidRDefault="00F058F1" w:rsidP="00F058F1">
            <w:pPr>
              <w:pStyle w:val="TableParagraph"/>
              <w:rPr>
                <w:sz w:val="28"/>
              </w:rPr>
            </w:pPr>
          </w:p>
          <w:p w14:paraId="678EA5D3" w14:textId="77777777" w:rsidR="00F058F1" w:rsidRDefault="00F058F1" w:rsidP="00F058F1">
            <w:pPr>
              <w:pStyle w:val="TableParagraph"/>
              <w:spacing w:before="3"/>
              <w:rPr>
                <w:sz w:val="26"/>
              </w:rPr>
            </w:pPr>
          </w:p>
          <w:p w14:paraId="667C8C68" w14:textId="77777777" w:rsidR="00F058F1" w:rsidRPr="00BF671C" w:rsidRDefault="00F058F1" w:rsidP="00F058F1">
            <w:pPr>
              <w:pStyle w:val="TableParagraph"/>
              <w:ind w:right="59"/>
              <w:jc w:val="right"/>
              <w:rPr>
                <w:b/>
                <w:bCs/>
                <w:sz w:val="24"/>
              </w:rPr>
            </w:pPr>
            <w:r w:rsidRPr="00BF671C">
              <w:rPr>
                <w:b/>
                <w:bCs/>
                <w:sz w:val="24"/>
              </w:rPr>
              <w:t>100,000,000.00</w:t>
            </w:r>
          </w:p>
        </w:tc>
        <w:tc>
          <w:tcPr>
            <w:tcW w:w="3543" w:type="dxa"/>
          </w:tcPr>
          <w:p w14:paraId="53235C2E" w14:textId="77777777" w:rsidR="00F058F1" w:rsidRDefault="00F058F1" w:rsidP="00F058F1">
            <w:pPr>
              <w:pStyle w:val="TableParagraph"/>
              <w:tabs>
                <w:tab w:val="left" w:pos="3152"/>
              </w:tabs>
              <w:spacing w:before="62"/>
              <w:ind w:left="71"/>
              <w:jc w:val="both"/>
              <w:rPr>
                <w:sz w:val="24"/>
              </w:rPr>
            </w:pPr>
            <w:r>
              <w:rPr>
                <w:sz w:val="24"/>
              </w:rPr>
              <w:t>Adquisición</w:t>
            </w:r>
            <w:r>
              <w:rPr>
                <w:sz w:val="24"/>
              </w:rPr>
              <w:tab/>
              <w:t>de</w:t>
            </w:r>
          </w:p>
          <w:p w14:paraId="0E9427DB" w14:textId="646EAB4F" w:rsidR="00F058F1" w:rsidRDefault="00F058F1" w:rsidP="00F058F1">
            <w:pPr>
              <w:pStyle w:val="TableParagraph"/>
              <w:spacing w:before="89" w:line="302" w:lineRule="auto"/>
              <w:ind w:left="71" w:right="51"/>
              <w:jc w:val="both"/>
              <w:rPr>
                <w:sz w:val="24"/>
              </w:rPr>
            </w:pPr>
            <w:r>
              <w:rPr>
                <w:sz w:val="24"/>
              </w:rPr>
              <w:t xml:space="preserve">medicamentos y materiales médicos, de curación y artículos de protección personal, que se utilizarán para el equipamiento médico y hospitalario, para fortalecer    a    las </w:t>
            </w:r>
            <w:r>
              <w:rPr>
                <w:spacing w:val="30"/>
                <w:sz w:val="24"/>
              </w:rPr>
              <w:t>Unidades</w:t>
            </w:r>
          </w:p>
        </w:tc>
      </w:tr>
    </w:tbl>
    <w:p w14:paraId="4C2B6FCB" w14:textId="021B0BF9" w:rsidR="00F058F1" w:rsidRDefault="00F058F1" w:rsidP="00F058F1">
      <w:pPr>
        <w:spacing w:line="300" w:lineRule="auto"/>
        <w:ind w:left="236" w:right="175"/>
        <w:jc w:val="both"/>
      </w:pPr>
    </w:p>
    <w:p w14:paraId="62A6F153" w14:textId="3984DAE4" w:rsidR="00F058F1" w:rsidRDefault="00F058F1" w:rsidP="00F058F1">
      <w:pPr>
        <w:spacing w:line="300" w:lineRule="auto"/>
        <w:ind w:left="236" w:right="175"/>
        <w:jc w:val="both"/>
      </w:pPr>
    </w:p>
    <w:p w14:paraId="38CE3039" w14:textId="591CDAEA" w:rsidR="00F058F1" w:rsidRDefault="00F058F1" w:rsidP="00F058F1">
      <w:pPr>
        <w:spacing w:line="300" w:lineRule="auto"/>
        <w:ind w:left="236" w:right="175"/>
        <w:jc w:val="both"/>
      </w:pPr>
    </w:p>
    <w:p w14:paraId="4307258A" w14:textId="0437F382" w:rsidR="00F058F1" w:rsidRDefault="00F058F1" w:rsidP="00F058F1">
      <w:pPr>
        <w:spacing w:line="300" w:lineRule="auto"/>
        <w:ind w:left="236" w:right="175"/>
        <w:jc w:val="both"/>
      </w:pPr>
    </w:p>
    <w:p w14:paraId="71856391" w14:textId="77777777" w:rsidR="00F058F1" w:rsidRDefault="00F058F1" w:rsidP="00F058F1">
      <w:pPr>
        <w:spacing w:line="300" w:lineRule="auto"/>
        <w:ind w:left="236" w:right="175"/>
        <w:jc w:val="both"/>
      </w:pPr>
    </w:p>
    <w:p w14:paraId="337141FF" w14:textId="5BCFFD65" w:rsidR="00F058F1" w:rsidRDefault="00F058F1" w:rsidP="00F058F1">
      <w:pPr>
        <w:spacing w:line="300" w:lineRule="auto"/>
        <w:ind w:right="175"/>
        <w:jc w:val="both"/>
        <w:sectPr w:rsidR="00F058F1">
          <w:headerReference w:type="default" r:id="rId7"/>
          <w:footerReference w:type="default" r:id="rId8"/>
          <w:pgSz w:w="12240" w:h="15840"/>
          <w:pgMar w:top="3080" w:right="1240" w:bottom="1340" w:left="1180" w:header="714" w:footer="1160" w:gutter="0"/>
          <w:cols w:space="720"/>
        </w:sectPr>
      </w:pPr>
    </w:p>
    <w:tbl>
      <w:tblPr>
        <w:tblStyle w:val="TableNormal"/>
        <w:tblpPr w:leftFromText="141" w:rightFromText="141" w:vertAnchor="text" w:horzAnchor="margin" w:tblpXSpec="center" w:tblpY="-2137"/>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32"/>
        <w:gridCol w:w="1983"/>
        <w:gridCol w:w="3543"/>
      </w:tblGrid>
      <w:tr w:rsidR="00F058F1" w14:paraId="1FDADD6E" w14:textId="77777777" w:rsidTr="00F058F1">
        <w:trPr>
          <w:trHeight w:val="1315"/>
        </w:trPr>
        <w:tc>
          <w:tcPr>
            <w:tcW w:w="3832" w:type="dxa"/>
            <w:vMerge w:val="restart"/>
            <w:tcBorders>
              <w:left w:val="single" w:sz="4" w:space="0" w:color="000000"/>
              <w:bottom w:val="single" w:sz="4" w:space="0" w:color="000000"/>
              <w:right w:val="single" w:sz="4" w:space="0" w:color="000000"/>
            </w:tcBorders>
          </w:tcPr>
          <w:p w14:paraId="2A6E692E" w14:textId="77777777" w:rsidR="00F058F1" w:rsidRDefault="00F058F1" w:rsidP="00F058F1">
            <w:pPr>
              <w:pStyle w:val="TableParagraph"/>
              <w:jc w:val="center"/>
              <w:rPr>
                <w:rFonts w:ascii="Times New Roman"/>
              </w:rPr>
            </w:pPr>
          </w:p>
        </w:tc>
        <w:tc>
          <w:tcPr>
            <w:tcW w:w="1983" w:type="dxa"/>
            <w:tcBorders>
              <w:left w:val="single" w:sz="4" w:space="0" w:color="000000"/>
              <w:bottom w:val="single" w:sz="4" w:space="0" w:color="000000"/>
              <w:right w:val="single" w:sz="4" w:space="0" w:color="000000"/>
            </w:tcBorders>
          </w:tcPr>
          <w:p w14:paraId="68C5DAB5" w14:textId="77777777" w:rsidR="00F058F1" w:rsidRDefault="00F058F1" w:rsidP="00F058F1">
            <w:pPr>
              <w:pStyle w:val="TableParagraph"/>
              <w:rPr>
                <w:rFonts w:ascii="Times New Roman"/>
              </w:rPr>
            </w:pPr>
          </w:p>
        </w:tc>
        <w:tc>
          <w:tcPr>
            <w:tcW w:w="3543" w:type="dxa"/>
            <w:tcBorders>
              <w:top w:val="single" w:sz="4" w:space="0" w:color="000000"/>
              <w:left w:val="single" w:sz="4" w:space="0" w:color="000000"/>
              <w:bottom w:val="single" w:sz="4" w:space="0" w:color="000000"/>
              <w:right w:val="single" w:sz="4" w:space="0" w:color="000000"/>
            </w:tcBorders>
          </w:tcPr>
          <w:p w14:paraId="09643929" w14:textId="77777777" w:rsidR="00F058F1" w:rsidRDefault="00F058F1" w:rsidP="00F058F1">
            <w:pPr>
              <w:pStyle w:val="TableParagraph"/>
              <w:spacing w:line="302" w:lineRule="exact"/>
              <w:ind w:left="71"/>
              <w:rPr>
                <w:sz w:val="24"/>
              </w:rPr>
            </w:pPr>
            <w:r>
              <w:rPr>
                <w:sz w:val="24"/>
              </w:rPr>
              <w:t>Médicas del Estado, con las</w:t>
            </w:r>
          </w:p>
          <w:p w14:paraId="64F1807B" w14:textId="77777777" w:rsidR="00F058F1" w:rsidRDefault="00F058F1" w:rsidP="00F058F1">
            <w:pPr>
              <w:pStyle w:val="TableParagraph"/>
              <w:spacing w:before="92" w:line="304" w:lineRule="auto"/>
              <w:ind w:left="71"/>
              <w:rPr>
                <w:sz w:val="24"/>
              </w:rPr>
            </w:pPr>
            <w:r>
              <w:rPr>
                <w:sz w:val="24"/>
              </w:rPr>
              <w:t>que se cuenta para atender la pandemia del COVID-19.</w:t>
            </w:r>
          </w:p>
        </w:tc>
      </w:tr>
      <w:tr w:rsidR="00F058F1" w14:paraId="01D96FF3" w14:textId="77777777" w:rsidTr="00F058F1">
        <w:trPr>
          <w:trHeight w:val="3187"/>
        </w:trPr>
        <w:tc>
          <w:tcPr>
            <w:tcW w:w="3832" w:type="dxa"/>
            <w:vMerge/>
            <w:tcBorders>
              <w:top w:val="nil"/>
              <w:left w:val="single" w:sz="4" w:space="0" w:color="000000"/>
              <w:bottom w:val="single" w:sz="4" w:space="0" w:color="000000"/>
              <w:right w:val="single" w:sz="4" w:space="0" w:color="000000"/>
            </w:tcBorders>
          </w:tcPr>
          <w:p w14:paraId="2A6D8A45" w14:textId="77777777" w:rsidR="00F058F1" w:rsidRDefault="00F058F1" w:rsidP="00F058F1">
            <w:pPr>
              <w:rPr>
                <w:sz w:val="2"/>
                <w:szCs w:val="2"/>
              </w:rPr>
            </w:pPr>
          </w:p>
        </w:tc>
        <w:tc>
          <w:tcPr>
            <w:tcW w:w="1983" w:type="dxa"/>
            <w:tcBorders>
              <w:top w:val="single" w:sz="4" w:space="0" w:color="000000"/>
              <w:left w:val="single" w:sz="4" w:space="0" w:color="000000"/>
              <w:bottom w:val="single" w:sz="4" w:space="0" w:color="000000"/>
              <w:right w:val="single" w:sz="4" w:space="0" w:color="000000"/>
            </w:tcBorders>
          </w:tcPr>
          <w:p w14:paraId="475E5394" w14:textId="77777777" w:rsidR="00F058F1" w:rsidRDefault="00F058F1" w:rsidP="00F058F1">
            <w:pPr>
              <w:pStyle w:val="TableParagraph"/>
              <w:rPr>
                <w:sz w:val="28"/>
              </w:rPr>
            </w:pPr>
          </w:p>
          <w:p w14:paraId="08B93ECB" w14:textId="77777777" w:rsidR="00F058F1" w:rsidRDefault="00F058F1" w:rsidP="00F058F1">
            <w:pPr>
              <w:pStyle w:val="TableParagraph"/>
              <w:rPr>
                <w:sz w:val="28"/>
              </w:rPr>
            </w:pPr>
          </w:p>
          <w:p w14:paraId="45AAA60C" w14:textId="77777777" w:rsidR="00F058F1" w:rsidRDefault="00F058F1" w:rsidP="00F058F1">
            <w:pPr>
              <w:pStyle w:val="TableParagraph"/>
              <w:spacing w:before="5"/>
              <w:rPr>
                <w:sz w:val="39"/>
              </w:rPr>
            </w:pPr>
          </w:p>
          <w:p w14:paraId="3EB0EBF5" w14:textId="77777777" w:rsidR="00F058F1" w:rsidRPr="00BF671C" w:rsidRDefault="00F058F1" w:rsidP="00F058F1">
            <w:pPr>
              <w:pStyle w:val="TableParagraph"/>
              <w:spacing w:before="1"/>
              <w:ind w:right="64"/>
              <w:jc w:val="right"/>
              <w:rPr>
                <w:b/>
                <w:bCs/>
                <w:sz w:val="24"/>
              </w:rPr>
            </w:pPr>
            <w:r w:rsidRPr="00BF671C">
              <w:rPr>
                <w:b/>
                <w:bCs/>
                <w:sz w:val="24"/>
              </w:rPr>
              <w:t>35,089,147.20</w:t>
            </w:r>
          </w:p>
        </w:tc>
        <w:tc>
          <w:tcPr>
            <w:tcW w:w="3543" w:type="dxa"/>
            <w:tcBorders>
              <w:top w:val="single" w:sz="4" w:space="0" w:color="000000"/>
              <w:left w:val="single" w:sz="4" w:space="0" w:color="000000"/>
              <w:bottom w:val="single" w:sz="4" w:space="0" w:color="000000"/>
              <w:right w:val="single" w:sz="4" w:space="0" w:color="000000"/>
            </w:tcBorders>
          </w:tcPr>
          <w:p w14:paraId="2458E86D" w14:textId="77777777" w:rsidR="00F058F1" w:rsidRDefault="00F058F1" w:rsidP="00F058F1">
            <w:pPr>
              <w:pStyle w:val="TableParagraph"/>
              <w:tabs>
                <w:tab w:val="left" w:pos="2912"/>
              </w:tabs>
              <w:spacing w:before="62" w:line="302" w:lineRule="auto"/>
              <w:ind w:left="71" w:right="54"/>
              <w:jc w:val="both"/>
              <w:rPr>
                <w:sz w:val="24"/>
              </w:rPr>
            </w:pPr>
            <w:r>
              <w:rPr>
                <w:sz w:val="24"/>
              </w:rPr>
              <w:t>A efecto de garantizar el surtido de medicamento, el equipamiento</w:t>
            </w:r>
            <w:r>
              <w:rPr>
                <w:sz w:val="24"/>
              </w:rPr>
              <w:tab/>
            </w:r>
            <w:r>
              <w:rPr>
                <w:spacing w:val="-5"/>
                <w:sz w:val="24"/>
              </w:rPr>
              <w:t xml:space="preserve">para </w:t>
            </w:r>
            <w:r>
              <w:rPr>
                <w:sz w:val="24"/>
              </w:rPr>
              <w:t>hospitales y clínicas; además, la bonificación que se autorice para el personal médico.</w:t>
            </w:r>
          </w:p>
        </w:tc>
      </w:tr>
      <w:tr w:rsidR="00F058F1" w14:paraId="78DDDA5A" w14:textId="77777777" w:rsidTr="00F058F1">
        <w:trPr>
          <w:trHeight w:val="1900"/>
        </w:trPr>
        <w:tc>
          <w:tcPr>
            <w:tcW w:w="3832" w:type="dxa"/>
            <w:tcBorders>
              <w:top w:val="single" w:sz="4" w:space="0" w:color="000000"/>
              <w:left w:val="single" w:sz="4" w:space="0" w:color="000000"/>
              <w:bottom w:val="single" w:sz="4" w:space="0" w:color="000000"/>
              <w:right w:val="single" w:sz="4" w:space="0" w:color="000000"/>
            </w:tcBorders>
          </w:tcPr>
          <w:p w14:paraId="0DA8624C" w14:textId="77777777" w:rsidR="00F058F1" w:rsidRDefault="00F058F1" w:rsidP="00F058F1">
            <w:pPr>
              <w:pStyle w:val="TableParagraph"/>
              <w:rPr>
                <w:sz w:val="28"/>
              </w:rPr>
            </w:pPr>
          </w:p>
          <w:p w14:paraId="0FCFA6C0" w14:textId="77777777" w:rsidR="00F058F1" w:rsidRDefault="00F058F1" w:rsidP="00F058F1">
            <w:pPr>
              <w:pStyle w:val="TableParagraph"/>
              <w:spacing w:before="2"/>
              <w:rPr>
                <w:sz w:val="23"/>
              </w:rPr>
            </w:pPr>
          </w:p>
          <w:p w14:paraId="2C3CD384" w14:textId="77777777" w:rsidR="00F058F1" w:rsidRDefault="00F058F1" w:rsidP="00F058F1">
            <w:pPr>
              <w:pStyle w:val="TableParagraph"/>
              <w:ind w:left="71"/>
              <w:rPr>
                <w:sz w:val="24"/>
              </w:rPr>
            </w:pPr>
            <w:r>
              <w:rPr>
                <w:sz w:val="24"/>
              </w:rPr>
              <w:t>Secretaría de Desarrollo Rural</w:t>
            </w:r>
          </w:p>
        </w:tc>
        <w:tc>
          <w:tcPr>
            <w:tcW w:w="1983" w:type="dxa"/>
            <w:tcBorders>
              <w:top w:val="single" w:sz="4" w:space="0" w:color="000000"/>
              <w:left w:val="single" w:sz="4" w:space="0" w:color="000000"/>
              <w:bottom w:val="single" w:sz="4" w:space="0" w:color="000000"/>
              <w:right w:val="single" w:sz="4" w:space="0" w:color="000000"/>
            </w:tcBorders>
          </w:tcPr>
          <w:p w14:paraId="348B3889" w14:textId="77777777" w:rsidR="00F058F1" w:rsidRDefault="00F058F1" w:rsidP="00F058F1">
            <w:pPr>
              <w:pStyle w:val="TableParagraph"/>
              <w:rPr>
                <w:sz w:val="28"/>
              </w:rPr>
            </w:pPr>
          </w:p>
          <w:p w14:paraId="5C04A17B" w14:textId="77777777" w:rsidR="00F058F1" w:rsidRDefault="00F058F1" w:rsidP="00F058F1">
            <w:pPr>
              <w:pStyle w:val="TableParagraph"/>
              <w:spacing w:before="2"/>
              <w:rPr>
                <w:sz w:val="23"/>
              </w:rPr>
            </w:pPr>
          </w:p>
          <w:p w14:paraId="38B3D0FD" w14:textId="77777777" w:rsidR="00F058F1" w:rsidRDefault="00F058F1" w:rsidP="00F058F1">
            <w:pPr>
              <w:pStyle w:val="TableParagraph"/>
              <w:ind w:right="63"/>
              <w:jc w:val="right"/>
              <w:rPr>
                <w:sz w:val="24"/>
              </w:rPr>
            </w:pPr>
            <w:r>
              <w:rPr>
                <w:sz w:val="24"/>
              </w:rPr>
              <w:t>40,000,000.00</w:t>
            </w:r>
          </w:p>
        </w:tc>
        <w:tc>
          <w:tcPr>
            <w:tcW w:w="3543" w:type="dxa"/>
            <w:tcBorders>
              <w:top w:val="single" w:sz="4" w:space="0" w:color="000000"/>
              <w:left w:val="single" w:sz="4" w:space="0" w:color="000000"/>
              <w:bottom w:val="single" w:sz="4" w:space="0" w:color="000000"/>
              <w:right w:val="single" w:sz="4" w:space="0" w:color="000000"/>
            </w:tcBorders>
          </w:tcPr>
          <w:p w14:paraId="65654390" w14:textId="33956B4E" w:rsidR="00F058F1" w:rsidRDefault="00F058F1" w:rsidP="00F058F1">
            <w:pPr>
              <w:pStyle w:val="TableParagraph"/>
              <w:spacing w:before="82" w:line="302" w:lineRule="auto"/>
              <w:ind w:left="71" w:right="57"/>
              <w:jc w:val="both"/>
              <w:rPr>
                <w:sz w:val="24"/>
              </w:rPr>
            </w:pPr>
            <w:r>
              <w:rPr>
                <w:sz w:val="24"/>
              </w:rPr>
              <w:t xml:space="preserve">Proyecto </w:t>
            </w:r>
            <w:r>
              <w:rPr>
                <w:spacing w:val="-4"/>
                <w:sz w:val="24"/>
              </w:rPr>
              <w:t xml:space="preserve">de </w:t>
            </w:r>
            <w:r>
              <w:rPr>
                <w:sz w:val="24"/>
              </w:rPr>
              <w:t xml:space="preserve">Fortalecimiento de Zonas </w:t>
            </w:r>
            <w:r>
              <w:rPr>
                <w:spacing w:val="-3"/>
                <w:sz w:val="24"/>
              </w:rPr>
              <w:t xml:space="preserve">Áridas </w:t>
            </w:r>
            <w:r>
              <w:rPr>
                <w:sz w:val="24"/>
              </w:rPr>
              <w:t>en el Estado, derivado de la sequía.</w:t>
            </w:r>
          </w:p>
        </w:tc>
      </w:tr>
      <w:tr w:rsidR="00F058F1" w14:paraId="4FD3A61F" w14:textId="77777777" w:rsidTr="00F058F1">
        <w:trPr>
          <w:trHeight w:val="1027"/>
        </w:trPr>
        <w:tc>
          <w:tcPr>
            <w:tcW w:w="3832" w:type="dxa"/>
            <w:tcBorders>
              <w:top w:val="single" w:sz="4" w:space="0" w:color="000000"/>
              <w:left w:val="single" w:sz="4" w:space="0" w:color="000000"/>
              <w:bottom w:val="single" w:sz="4" w:space="0" w:color="000000"/>
              <w:right w:val="single" w:sz="4" w:space="0" w:color="000000"/>
            </w:tcBorders>
            <w:shd w:val="clear" w:color="auto" w:fill="D9D9D9"/>
          </w:tcPr>
          <w:p w14:paraId="720EB63D" w14:textId="77777777" w:rsidR="00F058F1" w:rsidRDefault="00F058F1" w:rsidP="00F058F1">
            <w:pPr>
              <w:pStyle w:val="TableParagraph"/>
              <w:spacing w:before="68" w:line="285" w:lineRule="auto"/>
              <w:ind w:left="71" w:right="1441"/>
              <w:rPr>
                <w:b/>
                <w:sz w:val="24"/>
              </w:rPr>
            </w:pPr>
            <w:r>
              <w:rPr>
                <w:b/>
                <w:sz w:val="24"/>
              </w:rPr>
              <w:t>ORGANISMOS DESCENTRALIZADOS</w:t>
            </w:r>
          </w:p>
        </w:tc>
        <w:tc>
          <w:tcPr>
            <w:tcW w:w="1983" w:type="dxa"/>
            <w:tcBorders>
              <w:top w:val="single" w:sz="4" w:space="0" w:color="000000"/>
              <w:left w:val="single" w:sz="4" w:space="0" w:color="000000"/>
              <w:bottom w:val="single" w:sz="4" w:space="0" w:color="000000"/>
              <w:right w:val="single" w:sz="4" w:space="0" w:color="000000"/>
            </w:tcBorders>
            <w:shd w:val="clear" w:color="auto" w:fill="D9D9D9"/>
          </w:tcPr>
          <w:p w14:paraId="397232A1" w14:textId="77777777" w:rsidR="00F058F1" w:rsidRDefault="00F058F1" w:rsidP="00F058F1">
            <w:pPr>
              <w:pStyle w:val="TableParagraph"/>
              <w:spacing w:before="12"/>
              <w:rPr>
                <w:sz w:val="19"/>
              </w:rPr>
            </w:pPr>
          </w:p>
          <w:p w14:paraId="6D0D16B0" w14:textId="77777777" w:rsidR="00F058F1" w:rsidRPr="00BF671C" w:rsidRDefault="00F058F1" w:rsidP="00F058F1">
            <w:pPr>
              <w:jc w:val="right"/>
              <w:rPr>
                <w:rFonts w:ascii="Calibri" w:hAnsi="Calibri" w:cs="Calibri"/>
                <w:b/>
                <w:bCs/>
                <w:color w:val="000000"/>
              </w:rPr>
            </w:pPr>
            <w:r w:rsidRPr="00BF671C">
              <w:rPr>
                <w:rFonts w:ascii="Calibri" w:hAnsi="Calibri" w:cs="Calibri"/>
                <w:b/>
                <w:bCs/>
                <w:color w:val="000000"/>
              </w:rPr>
              <w:t>542,427,529.80</w:t>
            </w:r>
          </w:p>
          <w:p w14:paraId="2A2C53BA" w14:textId="77777777" w:rsidR="00F058F1" w:rsidRDefault="00F058F1" w:rsidP="00F058F1">
            <w:pPr>
              <w:pStyle w:val="TableParagraph"/>
              <w:ind w:right="60"/>
              <w:jc w:val="right"/>
              <w:rPr>
                <w:b/>
                <w:sz w:val="24"/>
              </w:rPr>
            </w:pP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0194CEBB" w14:textId="77777777" w:rsidR="00F058F1" w:rsidRDefault="00F058F1" w:rsidP="00F058F1">
            <w:pPr>
              <w:pStyle w:val="TableParagraph"/>
              <w:spacing w:before="12"/>
              <w:rPr>
                <w:sz w:val="19"/>
              </w:rPr>
            </w:pPr>
          </w:p>
          <w:p w14:paraId="44CB8C56" w14:textId="77777777" w:rsidR="00F058F1" w:rsidRDefault="00F058F1" w:rsidP="00F058F1">
            <w:pPr>
              <w:pStyle w:val="TableParagraph"/>
              <w:ind w:left="1113"/>
              <w:rPr>
                <w:b/>
                <w:sz w:val="24"/>
              </w:rPr>
            </w:pPr>
            <w:r>
              <w:rPr>
                <w:b/>
                <w:sz w:val="24"/>
              </w:rPr>
              <w:t>CONCEPTO</w:t>
            </w:r>
          </w:p>
        </w:tc>
      </w:tr>
      <w:tr w:rsidR="00F058F1" w14:paraId="6259FD89" w14:textId="77777777" w:rsidTr="00F058F1">
        <w:trPr>
          <w:trHeight w:val="3192"/>
        </w:trPr>
        <w:tc>
          <w:tcPr>
            <w:tcW w:w="3832" w:type="dxa"/>
            <w:tcBorders>
              <w:top w:val="single" w:sz="4" w:space="0" w:color="000000"/>
              <w:left w:val="single" w:sz="4" w:space="0" w:color="000000"/>
              <w:bottom w:val="single" w:sz="4" w:space="0" w:color="000000"/>
              <w:right w:val="single" w:sz="4" w:space="0" w:color="000000"/>
            </w:tcBorders>
          </w:tcPr>
          <w:p w14:paraId="0598C144" w14:textId="77777777" w:rsidR="00F058F1" w:rsidRDefault="00F058F1" w:rsidP="00F058F1">
            <w:pPr>
              <w:pStyle w:val="TableParagraph"/>
              <w:rPr>
                <w:sz w:val="28"/>
              </w:rPr>
            </w:pPr>
          </w:p>
          <w:p w14:paraId="503B048D" w14:textId="77777777" w:rsidR="00F058F1" w:rsidRDefault="00F058F1" w:rsidP="00F058F1">
            <w:pPr>
              <w:pStyle w:val="TableParagraph"/>
              <w:rPr>
                <w:sz w:val="28"/>
              </w:rPr>
            </w:pPr>
          </w:p>
          <w:p w14:paraId="032A6D91" w14:textId="77777777" w:rsidR="00F058F1" w:rsidRDefault="00F058F1" w:rsidP="00F058F1">
            <w:pPr>
              <w:pStyle w:val="TableParagraph"/>
              <w:spacing w:before="2"/>
              <w:rPr>
                <w:sz w:val="24"/>
              </w:rPr>
            </w:pPr>
          </w:p>
          <w:p w14:paraId="0DBA0D13" w14:textId="77777777" w:rsidR="00F058F1" w:rsidRDefault="00F058F1" w:rsidP="00F058F1">
            <w:pPr>
              <w:pStyle w:val="TableParagraph"/>
              <w:tabs>
                <w:tab w:val="left" w:pos="1525"/>
                <w:tab w:val="left" w:pos="2321"/>
                <w:tab w:val="left" w:pos="3439"/>
              </w:tabs>
              <w:spacing w:line="304" w:lineRule="auto"/>
              <w:ind w:left="71" w:right="61"/>
              <w:rPr>
                <w:sz w:val="24"/>
              </w:rPr>
            </w:pPr>
            <w:r>
              <w:rPr>
                <w:sz w:val="24"/>
              </w:rPr>
              <w:t>Servicios</w:t>
            </w:r>
            <w:r>
              <w:rPr>
                <w:sz w:val="24"/>
              </w:rPr>
              <w:tab/>
              <w:t>de</w:t>
            </w:r>
            <w:r>
              <w:rPr>
                <w:sz w:val="24"/>
              </w:rPr>
              <w:tab/>
              <w:t>Salud</w:t>
            </w:r>
            <w:r>
              <w:rPr>
                <w:sz w:val="24"/>
              </w:rPr>
              <w:tab/>
            </w:r>
            <w:r>
              <w:rPr>
                <w:spacing w:val="-10"/>
                <w:sz w:val="24"/>
              </w:rPr>
              <w:t xml:space="preserve">de </w:t>
            </w:r>
            <w:r>
              <w:rPr>
                <w:sz w:val="24"/>
              </w:rPr>
              <w:t>Chihuahua (SSA)</w:t>
            </w:r>
          </w:p>
        </w:tc>
        <w:tc>
          <w:tcPr>
            <w:tcW w:w="1983" w:type="dxa"/>
            <w:tcBorders>
              <w:top w:val="single" w:sz="4" w:space="0" w:color="000000"/>
              <w:left w:val="single" w:sz="4" w:space="0" w:color="000000"/>
              <w:bottom w:val="single" w:sz="4" w:space="0" w:color="000000"/>
              <w:right w:val="single" w:sz="4" w:space="0" w:color="000000"/>
            </w:tcBorders>
          </w:tcPr>
          <w:p w14:paraId="35944AA0" w14:textId="77777777" w:rsidR="00F058F1" w:rsidRDefault="00F058F1" w:rsidP="00F058F1">
            <w:pPr>
              <w:pStyle w:val="TableParagraph"/>
              <w:rPr>
                <w:sz w:val="28"/>
              </w:rPr>
            </w:pPr>
          </w:p>
          <w:p w14:paraId="14FFB9DD" w14:textId="77777777" w:rsidR="00F058F1" w:rsidRDefault="00F058F1" w:rsidP="00F058F1">
            <w:pPr>
              <w:pStyle w:val="TableParagraph"/>
              <w:rPr>
                <w:sz w:val="28"/>
              </w:rPr>
            </w:pPr>
          </w:p>
          <w:p w14:paraId="318A0FAE" w14:textId="77777777" w:rsidR="00F058F1" w:rsidRDefault="00F058F1" w:rsidP="00F058F1">
            <w:pPr>
              <w:pStyle w:val="TableParagraph"/>
              <w:spacing w:before="5"/>
              <w:rPr>
                <w:sz w:val="39"/>
              </w:rPr>
            </w:pPr>
          </w:p>
          <w:p w14:paraId="18884920" w14:textId="77777777" w:rsidR="00F058F1" w:rsidRDefault="00F058F1" w:rsidP="00F058F1">
            <w:pPr>
              <w:pStyle w:val="TableParagraph"/>
              <w:ind w:right="59"/>
              <w:jc w:val="right"/>
              <w:rPr>
                <w:sz w:val="24"/>
              </w:rPr>
            </w:pPr>
            <w:r>
              <w:rPr>
                <w:sz w:val="24"/>
              </w:rPr>
              <w:t>135,089,147.20</w:t>
            </w:r>
          </w:p>
        </w:tc>
        <w:tc>
          <w:tcPr>
            <w:tcW w:w="3543" w:type="dxa"/>
            <w:tcBorders>
              <w:top w:val="single" w:sz="4" w:space="0" w:color="000000"/>
              <w:left w:val="single" w:sz="4" w:space="0" w:color="000000"/>
              <w:bottom w:val="single" w:sz="4" w:space="0" w:color="000000"/>
              <w:right w:val="single" w:sz="4" w:space="0" w:color="000000"/>
            </w:tcBorders>
          </w:tcPr>
          <w:p w14:paraId="3F6A0BF8" w14:textId="77777777" w:rsidR="00F058F1" w:rsidRDefault="00F058F1" w:rsidP="00F058F1">
            <w:pPr>
              <w:pStyle w:val="TableParagraph"/>
              <w:tabs>
                <w:tab w:val="left" w:pos="2912"/>
              </w:tabs>
              <w:spacing w:before="62" w:line="302" w:lineRule="auto"/>
              <w:ind w:left="71" w:right="55"/>
              <w:jc w:val="both"/>
              <w:rPr>
                <w:sz w:val="24"/>
              </w:rPr>
            </w:pPr>
            <w:r>
              <w:rPr>
                <w:sz w:val="24"/>
              </w:rPr>
              <w:t>A efecto de garantizar el surtido de medicamento, el equipamiento</w:t>
            </w:r>
            <w:r>
              <w:rPr>
                <w:sz w:val="24"/>
              </w:rPr>
              <w:tab/>
            </w:r>
            <w:r>
              <w:rPr>
                <w:spacing w:val="-5"/>
                <w:sz w:val="24"/>
              </w:rPr>
              <w:t xml:space="preserve">para </w:t>
            </w:r>
            <w:r>
              <w:rPr>
                <w:sz w:val="24"/>
              </w:rPr>
              <w:t>hospitales y clínicas; además, la bonificación que se autorice para el personal médico.</w:t>
            </w:r>
          </w:p>
        </w:tc>
      </w:tr>
    </w:tbl>
    <w:p w14:paraId="412D9838" w14:textId="77777777" w:rsidR="00F058F1" w:rsidRDefault="00F058F1" w:rsidP="00F058F1">
      <w:pPr>
        <w:pStyle w:val="Textoindependiente"/>
        <w:rPr>
          <w:sz w:val="20"/>
        </w:rPr>
      </w:pPr>
    </w:p>
    <w:p w14:paraId="0D356986" w14:textId="77777777" w:rsidR="00F058F1" w:rsidRDefault="00F058F1" w:rsidP="00F058F1">
      <w:pPr>
        <w:pStyle w:val="Textoindependiente"/>
        <w:spacing w:before="9"/>
        <w:rPr>
          <w:sz w:val="12"/>
        </w:rPr>
      </w:pPr>
    </w:p>
    <w:p w14:paraId="5C1E5D9A" w14:textId="77777777" w:rsidR="00F058F1" w:rsidRDefault="00F058F1" w:rsidP="00F058F1">
      <w:pPr>
        <w:spacing w:line="302" w:lineRule="auto"/>
        <w:jc w:val="both"/>
        <w:sectPr w:rsidR="00F058F1">
          <w:pgSz w:w="12240" w:h="15840"/>
          <w:pgMar w:top="3080" w:right="1240" w:bottom="1340" w:left="1180" w:header="714" w:footer="1160" w:gutter="0"/>
          <w:cols w:space="720"/>
        </w:sectPr>
      </w:pPr>
    </w:p>
    <w:tbl>
      <w:tblPr>
        <w:tblStyle w:val="TableNormal"/>
        <w:tblpPr w:leftFromText="141" w:rightFromText="141" w:vertAnchor="text" w:horzAnchor="margin" w:tblpXSpec="center" w:tblpY="-19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2"/>
        <w:gridCol w:w="1983"/>
        <w:gridCol w:w="3543"/>
      </w:tblGrid>
      <w:tr w:rsidR="00F058F1" w14:paraId="5AC39D87" w14:textId="77777777" w:rsidTr="00F058F1">
        <w:trPr>
          <w:trHeight w:val="2303"/>
        </w:trPr>
        <w:tc>
          <w:tcPr>
            <w:tcW w:w="3832" w:type="dxa"/>
          </w:tcPr>
          <w:p w14:paraId="7BA55877" w14:textId="77777777" w:rsidR="00F058F1" w:rsidRDefault="00F058F1" w:rsidP="00F058F1">
            <w:pPr>
              <w:pStyle w:val="TableParagraph"/>
              <w:rPr>
                <w:sz w:val="28"/>
              </w:rPr>
            </w:pPr>
          </w:p>
          <w:p w14:paraId="113FD66D" w14:textId="77777777" w:rsidR="00F058F1" w:rsidRDefault="00F058F1" w:rsidP="00F058F1">
            <w:pPr>
              <w:pStyle w:val="TableParagraph"/>
              <w:spacing w:before="12"/>
              <w:rPr>
                <w:sz w:val="21"/>
              </w:rPr>
            </w:pPr>
          </w:p>
          <w:p w14:paraId="5911DD8D" w14:textId="77777777" w:rsidR="00F058F1" w:rsidRDefault="00F058F1" w:rsidP="00F058F1">
            <w:pPr>
              <w:pStyle w:val="TableParagraph"/>
              <w:spacing w:line="302" w:lineRule="auto"/>
              <w:ind w:left="71"/>
              <w:rPr>
                <w:sz w:val="24"/>
              </w:rPr>
            </w:pPr>
            <w:r>
              <w:rPr>
                <w:sz w:val="24"/>
              </w:rPr>
              <w:t>Instituto Chihuahuense de las Mujeres</w:t>
            </w:r>
          </w:p>
        </w:tc>
        <w:tc>
          <w:tcPr>
            <w:tcW w:w="1983" w:type="dxa"/>
          </w:tcPr>
          <w:p w14:paraId="1D6D4EC7" w14:textId="77777777" w:rsidR="00F058F1" w:rsidRDefault="00F058F1" w:rsidP="00F058F1">
            <w:pPr>
              <w:pStyle w:val="TableParagraph"/>
              <w:rPr>
                <w:sz w:val="28"/>
              </w:rPr>
            </w:pPr>
          </w:p>
          <w:p w14:paraId="0573F8FF" w14:textId="77777777" w:rsidR="00F058F1" w:rsidRDefault="00F058F1" w:rsidP="00F058F1">
            <w:pPr>
              <w:pStyle w:val="TableParagraph"/>
              <w:rPr>
                <w:sz w:val="37"/>
              </w:rPr>
            </w:pPr>
          </w:p>
          <w:p w14:paraId="4D23F3CD" w14:textId="77777777" w:rsidR="00F058F1" w:rsidRDefault="00F058F1" w:rsidP="00F058F1">
            <w:pPr>
              <w:pStyle w:val="TableParagraph"/>
              <w:ind w:right="64"/>
              <w:jc w:val="right"/>
              <w:rPr>
                <w:sz w:val="24"/>
              </w:rPr>
            </w:pPr>
            <w:r>
              <w:rPr>
                <w:sz w:val="24"/>
              </w:rPr>
              <w:t>7,712,450.00</w:t>
            </w:r>
          </w:p>
        </w:tc>
        <w:tc>
          <w:tcPr>
            <w:tcW w:w="3543" w:type="dxa"/>
          </w:tcPr>
          <w:p w14:paraId="774CDCE8" w14:textId="77777777" w:rsidR="00F058F1" w:rsidRDefault="00F058F1" w:rsidP="00F058F1">
            <w:pPr>
              <w:pStyle w:val="TableParagraph"/>
              <w:spacing w:before="62" w:line="302" w:lineRule="auto"/>
              <w:ind w:left="71" w:right="55"/>
              <w:jc w:val="both"/>
              <w:rPr>
                <w:sz w:val="24"/>
              </w:rPr>
            </w:pPr>
            <w:r>
              <w:rPr>
                <w:sz w:val="24"/>
              </w:rPr>
              <w:t>Asignación destinada en su totalidad a los Centros de Atención a la Violencia y Refugios Confidenciales de Protección del Instituto.</w:t>
            </w:r>
          </w:p>
        </w:tc>
      </w:tr>
      <w:tr w:rsidR="00F058F1" w14:paraId="31E95E93" w14:textId="77777777" w:rsidTr="00F058F1">
        <w:trPr>
          <w:trHeight w:val="4517"/>
        </w:trPr>
        <w:tc>
          <w:tcPr>
            <w:tcW w:w="3832" w:type="dxa"/>
          </w:tcPr>
          <w:p w14:paraId="1D7F1797" w14:textId="77777777" w:rsidR="00F058F1" w:rsidRDefault="00F058F1" w:rsidP="00F058F1">
            <w:pPr>
              <w:pStyle w:val="TableParagraph"/>
              <w:rPr>
                <w:sz w:val="28"/>
              </w:rPr>
            </w:pPr>
          </w:p>
          <w:p w14:paraId="2FB8C3A3" w14:textId="77777777" w:rsidR="00F058F1" w:rsidRDefault="00F058F1" w:rsidP="00F058F1">
            <w:pPr>
              <w:pStyle w:val="TableParagraph"/>
              <w:rPr>
                <w:sz w:val="28"/>
              </w:rPr>
            </w:pPr>
          </w:p>
          <w:p w14:paraId="5E361E80" w14:textId="77777777" w:rsidR="00F058F1" w:rsidRDefault="00F058F1" w:rsidP="00F058F1">
            <w:pPr>
              <w:pStyle w:val="TableParagraph"/>
              <w:rPr>
                <w:sz w:val="28"/>
              </w:rPr>
            </w:pPr>
          </w:p>
          <w:p w14:paraId="5D3D0FFB" w14:textId="77777777" w:rsidR="00F058F1" w:rsidRDefault="00F058F1" w:rsidP="00F058F1">
            <w:pPr>
              <w:pStyle w:val="TableParagraph"/>
              <w:spacing w:before="11"/>
              <w:rPr>
                <w:sz w:val="41"/>
              </w:rPr>
            </w:pPr>
          </w:p>
          <w:p w14:paraId="0A9AF737" w14:textId="77777777" w:rsidR="00F058F1" w:rsidRPr="00426084" w:rsidRDefault="00F058F1" w:rsidP="00F058F1">
            <w:pPr>
              <w:pStyle w:val="TableParagraph"/>
              <w:spacing w:line="302" w:lineRule="auto"/>
              <w:ind w:left="71"/>
              <w:rPr>
                <w:b/>
                <w:bCs/>
                <w:sz w:val="24"/>
              </w:rPr>
            </w:pPr>
            <w:r w:rsidRPr="00426084">
              <w:rPr>
                <w:b/>
                <w:bCs/>
                <w:sz w:val="24"/>
              </w:rPr>
              <w:t>Pensiones Civiles del Estado de Chihuahua</w:t>
            </w:r>
          </w:p>
        </w:tc>
        <w:tc>
          <w:tcPr>
            <w:tcW w:w="1983" w:type="dxa"/>
          </w:tcPr>
          <w:p w14:paraId="760AA316" w14:textId="77777777" w:rsidR="00F058F1" w:rsidRDefault="00F058F1" w:rsidP="00F058F1">
            <w:pPr>
              <w:pStyle w:val="TableParagraph"/>
              <w:rPr>
                <w:sz w:val="28"/>
              </w:rPr>
            </w:pPr>
          </w:p>
          <w:p w14:paraId="111F8658" w14:textId="77777777" w:rsidR="00F058F1" w:rsidRDefault="00F058F1" w:rsidP="00F058F1">
            <w:pPr>
              <w:pStyle w:val="TableParagraph"/>
              <w:rPr>
                <w:sz w:val="28"/>
              </w:rPr>
            </w:pPr>
          </w:p>
          <w:p w14:paraId="0171A17C" w14:textId="77777777" w:rsidR="00F058F1" w:rsidRDefault="00F058F1" w:rsidP="00F058F1">
            <w:pPr>
              <w:pStyle w:val="TableParagraph"/>
              <w:rPr>
                <w:sz w:val="28"/>
              </w:rPr>
            </w:pPr>
          </w:p>
          <w:p w14:paraId="7F4CB868" w14:textId="77777777" w:rsidR="00F058F1" w:rsidRDefault="00F058F1" w:rsidP="00F058F1">
            <w:pPr>
              <w:pStyle w:val="TableParagraph"/>
              <w:rPr>
                <w:sz w:val="28"/>
              </w:rPr>
            </w:pPr>
          </w:p>
          <w:p w14:paraId="3D4B6DFC" w14:textId="77777777" w:rsidR="00F058F1" w:rsidRDefault="00F058F1" w:rsidP="00F058F1">
            <w:pPr>
              <w:pStyle w:val="TableParagraph"/>
              <w:spacing w:before="13"/>
              <w:rPr>
                <w:sz w:val="28"/>
              </w:rPr>
            </w:pPr>
          </w:p>
          <w:p w14:paraId="11C739D6" w14:textId="6EA7C50A" w:rsidR="00F058F1" w:rsidRPr="00BF671C" w:rsidRDefault="00F058F1" w:rsidP="00F058F1">
            <w:pPr>
              <w:pStyle w:val="TableParagraph"/>
              <w:spacing w:before="1"/>
              <w:ind w:right="59"/>
              <w:jc w:val="right"/>
              <w:rPr>
                <w:b/>
                <w:bCs/>
                <w:sz w:val="24"/>
              </w:rPr>
            </w:pPr>
            <w:r>
              <w:rPr>
                <w:b/>
                <w:bCs/>
                <w:sz w:val="24"/>
              </w:rPr>
              <w:t>3</w:t>
            </w:r>
            <w:r w:rsidRPr="00BF671C">
              <w:rPr>
                <w:b/>
                <w:bCs/>
                <w:sz w:val="24"/>
              </w:rPr>
              <w:t>70</w:t>
            </w:r>
            <w:r w:rsidR="00426084">
              <w:rPr>
                <w:b/>
                <w:bCs/>
                <w:sz w:val="24"/>
              </w:rPr>
              <w:t>,</w:t>
            </w:r>
            <w:r w:rsidRPr="00BF671C">
              <w:rPr>
                <w:b/>
                <w:bCs/>
                <w:sz w:val="24"/>
              </w:rPr>
              <w:t>178,294.60</w:t>
            </w:r>
          </w:p>
        </w:tc>
        <w:tc>
          <w:tcPr>
            <w:tcW w:w="3543" w:type="dxa"/>
          </w:tcPr>
          <w:p w14:paraId="23027FB1" w14:textId="77777777" w:rsidR="00F058F1" w:rsidRDefault="00F058F1" w:rsidP="00F058F1">
            <w:pPr>
              <w:pStyle w:val="TableParagraph"/>
              <w:tabs>
                <w:tab w:val="left" w:pos="2317"/>
                <w:tab w:val="left" w:pos="2912"/>
              </w:tabs>
              <w:spacing w:before="68" w:line="302" w:lineRule="auto"/>
              <w:ind w:left="71" w:right="55"/>
              <w:jc w:val="both"/>
              <w:rPr>
                <w:sz w:val="24"/>
              </w:rPr>
            </w:pPr>
            <w:r>
              <w:rPr>
                <w:sz w:val="24"/>
              </w:rPr>
              <w:t>A efecto de garantizar el surtido de medicamento, el equipamiento</w:t>
            </w:r>
            <w:r>
              <w:rPr>
                <w:sz w:val="24"/>
              </w:rPr>
              <w:tab/>
            </w:r>
            <w:r>
              <w:rPr>
                <w:sz w:val="24"/>
              </w:rPr>
              <w:tab/>
            </w:r>
            <w:r>
              <w:rPr>
                <w:spacing w:val="-5"/>
                <w:sz w:val="24"/>
              </w:rPr>
              <w:t xml:space="preserve">para </w:t>
            </w:r>
            <w:r>
              <w:rPr>
                <w:sz w:val="24"/>
              </w:rPr>
              <w:t>hospitales y clínicas; además, la bonificación que se autorice para el personal médico y pagos a cuenta de servicios subrogados a los diversos</w:t>
            </w:r>
            <w:r>
              <w:rPr>
                <w:sz w:val="24"/>
              </w:rPr>
              <w:tab/>
              <w:t>hospitales convenidos.</w:t>
            </w:r>
          </w:p>
        </w:tc>
      </w:tr>
      <w:tr w:rsidR="00F058F1" w14:paraId="526142FD" w14:textId="77777777" w:rsidTr="00F058F1">
        <w:trPr>
          <w:trHeight w:val="984"/>
        </w:trPr>
        <w:tc>
          <w:tcPr>
            <w:tcW w:w="3832" w:type="dxa"/>
          </w:tcPr>
          <w:p w14:paraId="60DE0CDC" w14:textId="77777777" w:rsidR="00F058F1" w:rsidRDefault="00F058F1" w:rsidP="00F058F1">
            <w:pPr>
              <w:pStyle w:val="TableParagraph"/>
              <w:tabs>
                <w:tab w:val="left" w:pos="1697"/>
                <w:tab w:val="left" w:pos="3433"/>
              </w:tabs>
              <w:spacing w:before="62" w:line="304" w:lineRule="auto"/>
              <w:ind w:left="71" w:right="67"/>
              <w:rPr>
                <w:sz w:val="24"/>
              </w:rPr>
            </w:pPr>
            <w:r>
              <w:rPr>
                <w:sz w:val="24"/>
              </w:rPr>
              <w:t>Universidad</w:t>
            </w:r>
            <w:r>
              <w:rPr>
                <w:sz w:val="24"/>
              </w:rPr>
              <w:tab/>
              <w:t>Tecnológica</w:t>
            </w:r>
            <w:r>
              <w:rPr>
                <w:sz w:val="24"/>
              </w:rPr>
              <w:tab/>
            </w:r>
            <w:r>
              <w:rPr>
                <w:spacing w:val="-10"/>
                <w:sz w:val="24"/>
              </w:rPr>
              <w:t xml:space="preserve">de </w:t>
            </w:r>
            <w:r>
              <w:rPr>
                <w:sz w:val="24"/>
              </w:rPr>
              <w:t>Paquimé</w:t>
            </w:r>
          </w:p>
        </w:tc>
        <w:tc>
          <w:tcPr>
            <w:tcW w:w="1983" w:type="dxa"/>
          </w:tcPr>
          <w:p w14:paraId="41A03D7F" w14:textId="77777777" w:rsidR="00F058F1" w:rsidRDefault="00F058F1" w:rsidP="00F058F1">
            <w:pPr>
              <w:pStyle w:val="TableParagraph"/>
              <w:spacing w:before="7"/>
              <w:rPr>
                <w:sz w:val="19"/>
              </w:rPr>
            </w:pPr>
          </w:p>
          <w:p w14:paraId="3B64085B" w14:textId="77777777" w:rsidR="00F058F1" w:rsidRDefault="00F058F1" w:rsidP="00F058F1">
            <w:pPr>
              <w:pStyle w:val="TableParagraph"/>
              <w:ind w:right="64"/>
              <w:jc w:val="right"/>
              <w:rPr>
                <w:sz w:val="24"/>
              </w:rPr>
            </w:pPr>
            <w:r>
              <w:rPr>
                <w:sz w:val="24"/>
              </w:rPr>
              <w:t>4,260,504.00</w:t>
            </w:r>
          </w:p>
        </w:tc>
        <w:tc>
          <w:tcPr>
            <w:tcW w:w="3543" w:type="dxa"/>
          </w:tcPr>
          <w:p w14:paraId="07A14F06" w14:textId="77777777" w:rsidR="00F058F1" w:rsidRDefault="00F058F1" w:rsidP="00F058F1">
            <w:pPr>
              <w:pStyle w:val="TableParagraph"/>
              <w:tabs>
                <w:tab w:val="left" w:pos="1582"/>
                <w:tab w:val="left" w:pos="2361"/>
                <w:tab w:val="left" w:pos="3236"/>
              </w:tabs>
              <w:spacing w:before="62" w:line="304" w:lineRule="auto"/>
              <w:ind w:left="71" w:right="57"/>
              <w:rPr>
                <w:sz w:val="24"/>
              </w:rPr>
            </w:pPr>
            <w:r>
              <w:rPr>
                <w:sz w:val="24"/>
              </w:rPr>
              <w:t>Asignación</w:t>
            </w:r>
            <w:r>
              <w:rPr>
                <w:sz w:val="24"/>
              </w:rPr>
              <w:tab/>
              <w:t>para</w:t>
            </w:r>
            <w:r>
              <w:rPr>
                <w:sz w:val="24"/>
              </w:rPr>
              <w:tab/>
              <w:t>cubrir</w:t>
            </w:r>
            <w:r>
              <w:rPr>
                <w:sz w:val="24"/>
              </w:rPr>
              <w:tab/>
            </w:r>
            <w:r>
              <w:rPr>
                <w:spacing w:val="-10"/>
                <w:sz w:val="24"/>
              </w:rPr>
              <w:t xml:space="preserve">su </w:t>
            </w:r>
            <w:r>
              <w:rPr>
                <w:sz w:val="24"/>
              </w:rPr>
              <w:t>operatividad.</w:t>
            </w:r>
          </w:p>
        </w:tc>
      </w:tr>
      <w:tr w:rsidR="00F058F1" w14:paraId="736F30B9" w14:textId="77777777" w:rsidTr="00F058F1">
        <w:trPr>
          <w:trHeight w:val="1425"/>
        </w:trPr>
        <w:tc>
          <w:tcPr>
            <w:tcW w:w="3832" w:type="dxa"/>
          </w:tcPr>
          <w:p w14:paraId="7853CB62" w14:textId="77777777" w:rsidR="00F058F1" w:rsidRDefault="00F058F1" w:rsidP="00F058F1">
            <w:pPr>
              <w:pStyle w:val="TableParagraph"/>
              <w:spacing w:before="62" w:line="302" w:lineRule="auto"/>
              <w:ind w:left="71" w:right="62"/>
              <w:jc w:val="both"/>
              <w:rPr>
                <w:sz w:val="24"/>
              </w:rPr>
            </w:pPr>
            <w:r>
              <w:rPr>
                <w:sz w:val="24"/>
              </w:rPr>
              <w:t>Subsistema de Preparatoria Abierta y Telebachillerato del Estado de Chihuahua</w:t>
            </w:r>
          </w:p>
        </w:tc>
        <w:tc>
          <w:tcPr>
            <w:tcW w:w="1983" w:type="dxa"/>
          </w:tcPr>
          <w:p w14:paraId="41AE68E2" w14:textId="77777777" w:rsidR="00F058F1" w:rsidRDefault="00F058F1" w:rsidP="00F058F1">
            <w:pPr>
              <w:pStyle w:val="TableParagraph"/>
              <w:spacing w:before="9"/>
              <w:rPr>
                <w:sz w:val="34"/>
              </w:rPr>
            </w:pPr>
          </w:p>
          <w:p w14:paraId="5AFA90B9" w14:textId="77777777" w:rsidR="00F058F1" w:rsidRDefault="00F058F1" w:rsidP="00F058F1">
            <w:pPr>
              <w:pStyle w:val="TableParagraph"/>
              <w:ind w:right="64"/>
              <w:jc w:val="right"/>
              <w:rPr>
                <w:sz w:val="24"/>
              </w:rPr>
            </w:pPr>
            <w:r>
              <w:rPr>
                <w:sz w:val="24"/>
              </w:rPr>
              <w:t>19,187,134.00</w:t>
            </w:r>
          </w:p>
        </w:tc>
        <w:tc>
          <w:tcPr>
            <w:tcW w:w="3543" w:type="dxa"/>
          </w:tcPr>
          <w:p w14:paraId="598EF541" w14:textId="77777777" w:rsidR="00F058F1" w:rsidRDefault="00F058F1" w:rsidP="00F058F1">
            <w:pPr>
              <w:pStyle w:val="TableParagraph"/>
              <w:spacing w:before="7"/>
              <w:rPr>
                <w:sz w:val="19"/>
              </w:rPr>
            </w:pPr>
          </w:p>
          <w:p w14:paraId="5C63959B" w14:textId="77777777" w:rsidR="00F058F1" w:rsidRDefault="00F058F1" w:rsidP="00F058F1">
            <w:pPr>
              <w:pStyle w:val="TableParagraph"/>
              <w:tabs>
                <w:tab w:val="left" w:pos="1582"/>
                <w:tab w:val="left" w:pos="2359"/>
                <w:tab w:val="left" w:pos="3236"/>
              </w:tabs>
              <w:spacing w:line="302" w:lineRule="auto"/>
              <w:ind w:left="71" w:right="57"/>
              <w:rPr>
                <w:sz w:val="24"/>
              </w:rPr>
            </w:pPr>
            <w:r>
              <w:rPr>
                <w:sz w:val="24"/>
              </w:rPr>
              <w:t>Asignación</w:t>
            </w:r>
            <w:r>
              <w:rPr>
                <w:sz w:val="24"/>
              </w:rPr>
              <w:tab/>
              <w:t>para</w:t>
            </w:r>
            <w:r>
              <w:rPr>
                <w:sz w:val="24"/>
              </w:rPr>
              <w:tab/>
              <w:t>cubrir</w:t>
            </w:r>
            <w:r>
              <w:rPr>
                <w:sz w:val="24"/>
              </w:rPr>
              <w:tab/>
            </w:r>
            <w:r>
              <w:rPr>
                <w:spacing w:val="-10"/>
                <w:sz w:val="24"/>
              </w:rPr>
              <w:t xml:space="preserve">su </w:t>
            </w:r>
            <w:r>
              <w:rPr>
                <w:sz w:val="24"/>
              </w:rPr>
              <w:t>operatividad.</w:t>
            </w:r>
          </w:p>
        </w:tc>
      </w:tr>
      <w:tr w:rsidR="00F058F1" w14:paraId="5A74A736" w14:textId="77777777" w:rsidTr="00F058F1">
        <w:trPr>
          <w:trHeight w:val="1420"/>
        </w:trPr>
        <w:tc>
          <w:tcPr>
            <w:tcW w:w="3832" w:type="dxa"/>
          </w:tcPr>
          <w:p w14:paraId="0BAD2C1C" w14:textId="5F893CDF" w:rsidR="00F058F1" w:rsidRDefault="00F058F1" w:rsidP="00F058F1">
            <w:pPr>
              <w:pStyle w:val="TableParagraph"/>
              <w:spacing w:before="62" w:line="302" w:lineRule="auto"/>
              <w:ind w:left="71" w:right="64"/>
              <w:jc w:val="both"/>
              <w:rPr>
                <w:sz w:val="24"/>
              </w:rPr>
            </w:pPr>
            <w:r>
              <w:rPr>
                <w:sz w:val="24"/>
              </w:rPr>
              <w:t>Secretaría Ejecutiva del Sistema Estatal Anticorrupción (Comité de</w:t>
            </w:r>
            <w:r>
              <w:rPr>
                <w:spacing w:val="61"/>
                <w:sz w:val="24"/>
              </w:rPr>
              <w:t xml:space="preserve"> </w:t>
            </w:r>
            <w:r>
              <w:rPr>
                <w:sz w:val="24"/>
              </w:rPr>
              <w:t>Participación Ciudadana)</w:t>
            </w:r>
          </w:p>
        </w:tc>
        <w:tc>
          <w:tcPr>
            <w:tcW w:w="1983" w:type="dxa"/>
          </w:tcPr>
          <w:p w14:paraId="0D81EE3D" w14:textId="77777777" w:rsidR="00F058F1" w:rsidRDefault="00F058F1" w:rsidP="00F058F1">
            <w:pPr>
              <w:pStyle w:val="TableParagraph"/>
              <w:spacing w:before="9"/>
              <w:rPr>
                <w:sz w:val="34"/>
              </w:rPr>
            </w:pPr>
          </w:p>
          <w:p w14:paraId="4C9D5940" w14:textId="77777777" w:rsidR="00F058F1" w:rsidRDefault="00F058F1" w:rsidP="00F058F1">
            <w:pPr>
              <w:pStyle w:val="TableParagraph"/>
              <w:ind w:right="63"/>
              <w:jc w:val="right"/>
              <w:rPr>
                <w:sz w:val="24"/>
              </w:rPr>
            </w:pPr>
            <w:r>
              <w:rPr>
                <w:sz w:val="24"/>
              </w:rPr>
              <w:t>6,000,000.00</w:t>
            </w:r>
          </w:p>
        </w:tc>
        <w:tc>
          <w:tcPr>
            <w:tcW w:w="3543" w:type="dxa"/>
          </w:tcPr>
          <w:p w14:paraId="4B75C3D7" w14:textId="77777777" w:rsidR="00F058F1" w:rsidRDefault="00F058F1" w:rsidP="00F058F1">
            <w:pPr>
              <w:pStyle w:val="TableParagraph"/>
              <w:spacing w:before="7"/>
              <w:rPr>
                <w:sz w:val="19"/>
              </w:rPr>
            </w:pPr>
          </w:p>
          <w:p w14:paraId="7FE6F5E7" w14:textId="77777777" w:rsidR="00F058F1" w:rsidRDefault="00F058F1" w:rsidP="00F058F1">
            <w:pPr>
              <w:pStyle w:val="TableParagraph"/>
              <w:tabs>
                <w:tab w:val="left" w:pos="1582"/>
                <w:tab w:val="left" w:pos="2359"/>
                <w:tab w:val="left" w:pos="3236"/>
              </w:tabs>
              <w:spacing w:line="300" w:lineRule="auto"/>
              <w:ind w:left="71" w:right="57"/>
              <w:rPr>
                <w:sz w:val="24"/>
              </w:rPr>
            </w:pPr>
            <w:r>
              <w:rPr>
                <w:sz w:val="24"/>
              </w:rPr>
              <w:t>Asignación</w:t>
            </w:r>
            <w:r>
              <w:rPr>
                <w:sz w:val="24"/>
              </w:rPr>
              <w:tab/>
              <w:t>para</w:t>
            </w:r>
            <w:r>
              <w:rPr>
                <w:sz w:val="24"/>
              </w:rPr>
              <w:tab/>
              <w:t>cubrir</w:t>
            </w:r>
            <w:r>
              <w:rPr>
                <w:sz w:val="24"/>
              </w:rPr>
              <w:tab/>
            </w:r>
            <w:r>
              <w:rPr>
                <w:spacing w:val="-10"/>
                <w:sz w:val="24"/>
              </w:rPr>
              <w:t xml:space="preserve">su </w:t>
            </w:r>
            <w:r>
              <w:rPr>
                <w:sz w:val="24"/>
              </w:rPr>
              <w:t>operatividad.</w:t>
            </w:r>
          </w:p>
        </w:tc>
      </w:tr>
    </w:tbl>
    <w:p w14:paraId="242AE5E1" w14:textId="77777777" w:rsidR="00F058F1" w:rsidRDefault="00F058F1" w:rsidP="00F058F1">
      <w:pPr>
        <w:spacing w:line="302" w:lineRule="auto"/>
        <w:jc w:val="both"/>
        <w:sectPr w:rsidR="00F058F1">
          <w:pgSz w:w="12240" w:h="15840"/>
          <w:pgMar w:top="3080" w:right="1240" w:bottom="1340" w:left="1180" w:header="714" w:footer="1160" w:gutter="0"/>
          <w:cols w:space="720"/>
        </w:sectPr>
      </w:pPr>
    </w:p>
    <w:tbl>
      <w:tblPr>
        <w:tblStyle w:val="TableNormal"/>
        <w:tblpPr w:leftFromText="141" w:rightFromText="141" w:vertAnchor="text" w:horzAnchor="margin" w:tblpXSpec="center" w:tblpY="-237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2"/>
        <w:gridCol w:w="1983"/>
        <w:gridCol w:w="3543"/>
      </w:tblGrid>
      <w:tr w:rsidR="00F058F1" w14:paraId="40BD75DD" w14:textId="77777777" w:rsidTr="00F058F1">
        <w:trPr>
          <w:trHeight w:val="537"/>
        </w:trPr>
        <w:tc>
          <w:tcPr>
            <w:tcW w:w="3832" w:type="dxa"/>
          </w:tcPr>
          <w:p w14:paraId="6516AD4C" w14:textId="77777777" w:rsidR="00F058F1" w:rsidRDefault="00F058F1" w:rsidP="00F058F1">
            <w:pPr>
              <w:pStyle w:val="TableParagraph"/>
              <w:spacing w:before="44"/>
              <w:ind w:left="71"/>
              <w:rPr>
                <w:b/>
                <w:sz w:val="24"/>
              </w:rPr>
            </w:pPr>
            <w:r>
              <w:rPr>
                <w:b/>
                <w:sz w:val="24"/>
              </w:rPr>
              <w:t>ÓRGANOS AUTÓNOMOS</w:t>
            </w:r>
          </w:p>
        </w:tc>
        <w:tc>
          <w:tcPr>
            <w:tcW w:w="1983" w:type="dxa"/>
          </w:tcPr>
          <w:p w14:paraId="320325BC" w14:textId="77777777" w:rsidR="00F058F1" w:rsidRDefault="00F058F1" w:rsidP="00F058F1">
            <w:pPr>
              <w:pStyle w:val="TableParagraph"/>
              <w:spacing w:before="44"/>
              <w:ind w:right="61"/>
              <w:jc w:val="right"/>
              <w:rPr>
                <w:b/>
                <w:sz w:val="24"/>
              </w:rPr>
            </w:pPr>
            <w:r>
              <w:rPr>
                <w:b/>
                <w:sz w:val="24"/>
              </w:rPr>
              <w:t>75,243,903.00</w:t>
            </w:r>
          </w:p>
        </w:tc>
        <w:tc>
          <w:tcPr>
            <w:tcW w:w="3543" w:type="dxa"/>
          </w:tcPr>
          <w:p w14:paraId="3DCB7111" w14:textId="77777777" w:rsidR="00F058F1" w:rsidRDefault="00F058F1" w:rsidP="00F058F1">
            <w:pPr>
              <w:pStyle w:val="TableParagraph"/>
              <w:spacing w:before="44"/>
              <w:ind w:left="1113"/>
              <w:rPr>
                <w:b/>
                <w:sz w:val="24"/>
              </w:rPr>
            </w:pPr>
            <w:r>
              <w:rPr>
                <w:b/>
                <w:sz w:val="24"/>
              </w:rPr>
              <w:t>CONCEPTO</w:t>
            </w:r>
          </w:p>
        </w:tc>
      </w:tr>
      <w:tr w:rsidR="00F058F1" w14:paraId="31B637B2" w14:textId="77777777" w:rsidTr="00F058F1">
        <w:trPr>
          <w:trHeight w:val="2309"/>
        </w:trPr>
        <w:tc>
          <w:tcPr>
            <w:tcW w:w="3832" w:type="dxa"/>
          </w:tcPr>
          <w:p w14:paraId="3F5F6D36" w14:textId="77777777" w:rsidR="00F058F1" w:rsidRDefault="00F058F1" w:rsidP="00F058F1">
            <w:pPr>
              <w:pStyle w:val="TableParagraph"/>
              <w:rPr>
                <w:sz w:val="28"/>
              </w:rPr>
            </w:pPr>
          </w:p>
          <w:p w14:paraId="4AED86DC" w14:textId="77777777" w:rsidR="00F058F1" w:rsidRDefault="00F058F1" w:rsidP="00F058F1">
            <w:pPr>
              <w:pStyle w:val="TableParagraph"/>
              <w:rPr>
                <w:sz w:val="37"/>
              </w:rPr>
            </w:pPr>
          </w:p>
          <w:p w14:paraId="155B8263" w14:textId="77777777" w:rsidR="00F058F1" w:rsidRDefault="00F058F1" w:rsidP="00F058F1">
            <w:pPr>
              <w:pStyle w:val="TableParagraph"/>
              <w:ind w:left="71"/>
              <w:rPr>
                <w:sz w:val="24"/>
              </w:rPr>
            </w:pPr>
            <w:r>
              <w:rPr>
                <w:sz w:val="24"/>
              </w:rPr>
              <w:t>Instituto Estatal Electoral</w:t>
            </w:r>
          </w:p>
        </w:tc>
        <w:tc>
          <w:tcPr>
            <w:tcW w:w="1983" w:type="dxa"/>
          </w:tcPr>
          <w:p w14:paraId="72A5C8FC" w14:textId="77777777" w:rsidR="00F058F1" w:rsidRDefault="00F058F1" w:rsidP="00F058F1">
            <w:pPr>
              <w:pStyle w:val="TableParagraph"/>
              <w:rPr>
                <w:sz w:val="28"/>
              </w:rPr>
            </w:pPr>
          </w:p>
          <w:p w14:paraId="5D1C4E27" w14:textId="77777777" w:rsidR="00F058F1" w:rsidRDefault="00F058F1" w:rsidP="00F058F1">
            <w:pPr>
              <w:pStyle w:val="TableParagraph"/>
              <w:rPr>
                <w:sz w:val="37"/>
              </w:rPr>
            </w:pPr>
          </w:p>
          <w:p w14:paraId="21EF0982" w14:textId="77777777" w:rsidR="00F058F1" w:rsidRDefault="00F058F1" w:rsidP="00F058F1">
            <w:pPr>
              <w:pStyle w:val="TableParagraph"/>
              <w:ind w:right="64"/>
              <w:jc w:val="right"/>
              <w:rPr>
                <w:sz w:val="24"/>
              </w:rPr>
            </w:pPr>
            <w:r>
              <w:rPr>
                <w:sz w:val="24"/>
              </w:rPr>
              <w:t>20,380,503.00</w:t>
            </w:r>
          </w:p>
        </w:tc>
        <w:tc>
          <w:tcPr>
            <w:tcW w:w="3543" w:type="dxa"/>
          </w:tcPr>
          <w:p w14:paraId="6A4C83CF" w14:textId="77777777" w:rsidR="00F058F1" w:rsidRDefault="00F058F1" w:rsidP="00F058F1">
            <w:pPr>
              <w:pStyle w:val="TableParagraph"/>
              <w:spacing w:before="62" w:line="302" w:lineRule="auto"/>
              <w:ind w:left="71" w:right="53"/>
              <w:jc w:val="both"/>
              <w:rPr>
                <w:sz w:val="24"/>
              </w:rPr>
            </w:pPr>
            <w:r>
              <w:rPr>
                <w:sz w:val="24"/>
              </w:rPr>
              <w:t>Asignación que se destina para 1) Boletas y documentos electorales,</w:t>
            </w:r>
          </w:p>
          <w:p w14:paraId="14699643" w14:textId="77777777" w:rsidR="00F058F1" w:rsidRDefault="00F058F1" w:rsidP="00F058F1">
            <w:pPr>
              <w:pStyle w:val="TableParagraph"/>
              <w:spacing w:before="6" w:line="302" w:lineRule="auto"/>
              <w:ind w:left="71" w:right="64"/>
              <w:jc w:val="both"/>
              <w:rPr>
                <w:sz w:val="24"/>
              </w:rPr>
            </w:pPr>
            <w:r>
              <w:rPr>
                <w:sz w:val="24"/>
              </w:rPr>
              <w:t>$13,043,431.00; y, 2) Material Electoral, $7,337,072.00.</w:t>
            </w:r>
          </w:p>
        </w:tc>
      </w:tr>
      <w:tr w:rsidR="00F058F1" w14:paraId="1016159C" w14:textId="77777777" w:rsidTr="00F058F1">
        <w:trPr>
          <w:trHeight w:val="7163"/>
        </w:trPr>
        <w:tc>
          <w:tcPr>
            <w:tcW w:w="3832" w:type="dxa"/>
          </w:tcPr>
          <w:p w14:paraId="368379B6" w14:textId="77777777" w:rsidR="00F058F1" w:rsidRDefault="00F058F1" w:rsidP="00F058F1">
            <w:pPr>
              <w:pStyle w:val="TableParagraph"/>
              <w:rPr>
                <w:sz w:val="28"/>
              </w:rPr>
            </w:pPr>
          </w:p>
          <w:p w14:paraId="6CE110FC" w14:textId="77777777" w:rsidR="00F058F1" w:rsidRDefault="00F058F1" w:rsidP="00F058F1">
            <w:pPr>
              <w:pStyle w:val="TableParagraph"/>
              <w:rPr>
                <w:sz w:val="28"/>
              </w:rPr>
            </w:pPr>
          </w:p>
          <w:p w14:paraId="11557388" w14:textId="77777777" w:rsidR="00F058F1" w:rsidRDefault="00F058F1" w:rsidP="00F058F1">
            <w:pPr>
              <w:pStyle w:val="TableParagraph"/>
              <w:rPr>
                <w:sz w:val="28"/>
              </w:rPr>
            </w:pPr>
          </w:p>
          <w:p w14:paraId="163DF61C" w14:textId="77777777" w:rsidR="00F058F1" w:rsidRDefault="00F058F1" w:rsidP="00F058F1">
            <w:pPr>
              <w:pStyle w:val="TableParagraph"/>
              <w:rPr>
                <w:sz w:val="28"/>
              </w:rPr>
            </w:pPr>
          </w:p>
          <w:p w14:paraId="62175182" w14:textId="77777777" w:rsidR="00F058F1" w:rsidRDefault="00F058F1" w:rsidP="00F058F1">
            <w:pPr>
              <w:pStyle w:val="TableParagraph"/>
              <w:rPr>
                <w:sz w:val="28"/>
              </w:rPr>
            </w:pPr>
          </w:p>
          <w:p w14:paraId="339ED10D" w14:textId="77777777" w:rsidR="00F058F1" w:rsidRDefault="00F058F1" w:rsidP="00F058F1">
            <w:pPr>
              <w:pStyle w:val="TableParagraph"/>
              <w:rPr>
                <w:sz w:val="28"/>
              </w:rPr>
            </w:pPr>
          </w:p>
          <w:p w14:paraId="6EC6BDFB" w14:textId="77777777" w:rsidR="00F058F1" w:rsidRDefault="00F058F1" w:rsidP="00F058F1">
            <w:pPr>
              <w:pStyle w:val="TableParagraph"/>
              <w:rPr>
                <w:sz w:val="28"/>
              </w:rPr>
            </w:pPr>
          </w:p>
          <w:p w14:paraId="5973335A" w14:textId="77777777" w:rsidR="00F058F1" w:rsidRDefault="00F058F1" w:rsidP="00F058F1">
            <w:pPr>
              <w:pStyle w:val="TableParagraph"/>
              <w:spacing w:before="14"/>
              <w:rPr>
                <w:sz w:val="35"/>
              </w:rPr>
            </w:pPr>
          </w:p>
          <w:p w14:paraId="3385F690" w14:textId="77777777" w:rsidR="00F058F1" w:rsidRDefault="00F058F1" w:rsidP="00F058F1">
            <w:pPr>
              <w:pStyle w:val="TableParagraph"/>
              <w:ind w:left="71"/>
              <w:rPr>
                <w:sz w:val="24"/>
              </w:rPr>
            </w:pPr>
            <w:r>
              <w:rPr>
                <w:sz w:val="24"/>
              </w:rPr>
              <w:t>Fiscalía Anticorrupción</w:t>
            </w:r>
          </w:p>
        </w:tc>
        <w:tc>
          <w:tcPr>
            <w:tcW w:w="1983" w:type="dxa"/>
          </w:tcPr>
          <w:p w14:paraId="3550B73F" w14:textId="77777777" w:rsidR="00F058F1" w:rsidRDefault="00F058F1" w:rsidP="00F058F1">
            <w:pPr>
              <w:pStyle w:val="TableParagraph"/>
              <w:rPr>
                <w:sz w:val="28"/>
              </w:rPr>
            </w:pPr>
          </w:p>
          <w:p w14:paraId="7492C9EB" w14:textId="77777777" w:rsidR="00F058F1" w:rsidRDefault="00F058F1" w:rsidP="00F058F1">
            <w:pPr>
              <w:pStyle w:val="TableParagraph"/>
              <w:rPr>
                <w:sz w:val="28"/>
              </w:rPr>
            </w:pPr>
          </w:p>
          <w:p w14:paraId="3E593B00" w14:textId="77777777" w:rsidR="00F058F1" w:rsidRDefault="00F058F1" w:rsidP="00F058F1">
            <w:pPr>
              <w:pStyle w:val="TableParagraph"/>
              <w:rPr>
                <w:sz w:val="28"/>
              </w:rPr>
            </w:pPr>
          </w:p>
          <w:p w14:paraId="003947F2" w14:textId="77777777" w:rsidR="00F058F1" w:rsidRDefault="00F058F1" w:rsidP="00F058F1">
            <w:pPr>
              <w:pStyle w:val="TableParagraph"/>
              <w:rPr>
                <w:sz w:val="28"/>
              </w:rPr>
            </w:pPr>
          </w:p>
          <w:p w14:paraId="3089B355" w14:textId="77777777" w:rsidR="00F058F1" w:rsidRDefault="00F058F1" w:rsidP="00F058F1">
            <w:pPr>
              <w:pStyle w:val="TableParagraph"/>
              <w:rPr>
                <w:sz w:val="28"/>
              </w:rPr>
            </w:pPr>
          </w:p>
          <w:p w14:paraId="2DB181FF" w14:textId="77777777" w:rsidR="00F058F1" w:rsidRDefault="00F058F1" w:rsidP="00F058F1">
            <w:pPr>
              <w:pStyle w:val="TableParagraph"/>
              <w:rPr>
                <w:sz w:val="28"/>
              </w:rPr>
            </w:pPr>
          </w:p>
          <w:p w14:paraId="0DD4EBC1" w14:textId="77777777" w:rsidR="00F058F1" w:rsidRDefault="00F058F1" w:rsidP="00F058F1">
            <w:pPr>
              <w:pStyle w:val="TableParagraph"/>
              <w:rPr>
                <w:sz w:val="28"/>
              </w:rPr>
            </w:pPr>
          </w:p>
          <w:p w14:paraId="3C6515F8" w14:textId="77777777" w:rsidR="00F058F1" w:rsidRDefault="00F058F1" w:rsidP="00F058F1">
            <w:pPr>
              <w:pStyle w:val="TableParagraph"/>
              <w:spacing w:before="14"/>
              <w:rPr>
                <w:sz w:val="35"/>
              </w:rPr>
            </w:pPr>
          </w:p>
          <w:p w14:paraId="0D08902E" w14:textId="77777777" w:rsidR="00F058F1" w:rsidRDefault="00F058F1" w:rsidP="00F058F1">
            <w:pPr>
              <w:pStyle w:val="TableParagraph"/>
              <w:ind w:right="64"/>
              <w:jc w:val="right"/>
              <w:rPr>
                <w:sz w:val="24"/>
              </w:rPr>
            </w:pPr>
            <w:r>
              <w:rPr>
                <w:sz w:val="24"/>
              </w:rPr>
              <w:t>54,863,400.00</w:t>
            </w:r>
          </w:p>
        </w:tc>
        <w:tc>
          <w:tcPr>
            <w:tcW w:w="3543" w:type="dxa"/>
          </w:tcPr>
          <w:p w14:paraId="1C8FFA52" w14:textId="68113F7B" w:rsidR="00F058F1" w:rsidRDefault="00F058F1" w:rsidP="00F058F1">
            <w:pPr>
              <w:pStyle w:val="TableParagraph"/>
              <w:spacing w:before="62" w:line="302" w:lineRule="auto"/>
              <w:ind w:left="71" w:right="52"/>
              <w:jc w:val="both"/>
              <w:rPr>
                <w:sz w:val="24"/>
              </w:rPr>
            </w:pPr>
            <w:r>
              <w:rPr>
                <w:sz w:val="24"/>
              </w:rPr>
              <w:t xml:space="preserve">Se reclasifica de la Fiscalía General del Estado, específicamente de las Unidades   </w:t>
            </w:r>
            <w:r w:rsidR="005C63B2">
              <w:rPr>
                <w:sz w:val="24"/>
              </w:rPr>
              <w:t xml:space="preserve">Responsables </w:t>
            </w:r>
            <w:r w:rsidR="005C63B2">
              <w:rPr>
                <w:spacing w:val="4"/>
                <w:sz w:val="24"/>
              </w:rPr>
              <w:t>de</w:t>
            </w:r>
            <w:r>
              <w:rPr>
                <w:sz w:val="24"/>
              </w:rPr>
              <w:t>:</w:t>
            </w:r>
          </w:p>
          <w:p w14:paraId="5A82EBD0" w14:textId="29390133" w:rsidR="00F058F1" w:rsidRDefault="00F058F1" w:rsidP="00F058F1">
            <w:pPr>
              <w:pStyle w:val="TableParagraph"/>
              <w:numPr>
                <w:ilvl w:val="0"/>
                <w:numId w:val="1"/>
              </w:numPr>
              <w:tabs>
                <w:tab w:val="left" w:pos="389"/>
              </w:tabs>
              <w:spacing w:before="7" w:line="304" w:lineRule="auto"/>
              <w:ind w:right="58" w:firstLine="0"/>
              <w:jc w:val="both"/>
              <w:rPr>
                <w:sz w:val="24"/>
              </w:rPr>
            </w:pPr>
            <w:r>
              <w:rPr>
                <w:sz w:val="24"/>
              </w:rPr>
              <w:t xml:space="preserve">Dpto. Coordinación de la Fiscalía Especializada en </w:t>
            </w:r>
            <w:r w:rsidR="005C63B2">
              <w:rPr>
                <w:sz w:val="24"/>
              </w:rPr>
              <w:t xml:space="preserve">Combate a la Corrupción </w:t>
            </w:r>
            <w:r w:rsidR="005C63B2">
              <w:rPr>
                <w:spacing w:val="-33"/>
                <w:sz w:val="24"/>
              </w:rPr>
              <w:t>y</w:t>
            </w:r>
          </w:p>
          <w:p w14:paraId="6B9D6419" w14:textId="0861D607" w:rsidR="00F058F1" w:rsidRDefault="00F058F1" w:rsidP="00F058F1">
            <w:pPr>
              <w:pStyle w:val="TableParagraph"/>
              <w:numPr>
                <w:ilvl w:val="0"/>
                <w:numId w:val="1"/>
              </w:numPr>
              <w:tabs>
                <w:tab w:val="left" w:pos="562"/>
              </w:tabs>
              <w:spacing w:line="302" w:lineRule="auto"/>
              <w:ind w:right="52" w:firstLine="0"/>
              <w:jc w:val="both"/>
              <w:rPr>
                <w:sz w:val="24"/>
              </w:rPr>
            </w:pPr>
            <w:r>
              <w:rPr>
                <w:sz w:val="24"/>
              </w:rPr>
              <w:t xml:space="preserve">Oficina del C. Fiscal Especializado en Combate a la Corrupción, para asignarse a la operatividad de la Fiscalía Anticorrupción; además de garantizar el porcentaje establecido en la Ley Reglamentaria y Orgánica     de     la  </w:t>
            </w:r>
            <w:r>
              <w:rPr>
                <w:spacing w:val="45"/>
                <w:sz w:val="24"/>
              </w:rPr>
              <w:t xml:space="preserve"> </w:t>
            </w:r>
            <w:r>
              <w:rPr>
                <w:sz w:val="24"/>
              </w:rPr>
              <w:t>Fiscalía Anticorrupción del Estado de Chihuahua.</w:t>
            </w:r>
          </w:p>
        </w:tc>
      </w:tr>
    </w:tbl>
    <w:p w14:paraId="1CC19FF7" w14:textId="77777777" w:rsidR="00F058F1" w:rsidRDefault="00F058F1" w:rsidP="00F058F1">
      <w:pPr>
        <w:pStyle w:val="Textoindependiente"/>
        <w:spacing w:before="1"/>
        <w:rPr>
          <w:sz w:val="22"/>
        </w:rPr>
      </w:pPr>
    </w:p>
    <w:p w14:paraId="2B06E7D3" w14:textId="77777777" w:rsidR="00426084" w:rsidRDefault="00426084" w:rsidP="00F058F1">
      <w:pPr>
        <w:spacing w:line="300" w:lineRule="auto"/>
      </w:pPr>
    </w:p>
    <w:p w14:paraId="437186E7" w14:textId="77777777" w:rsidR="00426084" w:rsidRDefault="00426084" w:rsidP="00426084">
      <w:pPr>
        <w:spacing w:before="240" w:after="240" w:line="360" w:lineRule="auto"/>
        <w:jc w:val="both"/>
        <w:rPr>
          <w:rFonts w:ascii="Times New Roman" w:eastAsia="Times New Roman" w:hAnsi="Times New Roman" w:cs="Times New Roman"/>
          <w:color w:val="000000"/>
          <w:lang w:eastAsia="es-MX"/>
        </w:rPr>
      </w:pPr>
      <w:r w:rsidRPr="00426084">
        <w:rPr>
          <w:rFonts w:ascii="Arial" w:eastAsia="Times New Roman" w:hAnsi="Arial" w:cs="Arial"/>
          <w:b/>
          <w:bCs/>
          <w:color w:val="000000"/>
          <w:sz w:val="28"/>
          <w:szCs w:val="28"/>
          <w:lang w:eastAsia="es-MX"/>
        </w:rPr>
        <w:t xml:space="preserve">ARTÍCULO DUODÉCIMO.- </w:t>
      </w:r>
      <w:r w:rsidRPr="00426084">
        <w:rPr>
          <w:rFonts w:ascii="Arial" w:eastAsia="Times New Roman" w:hAnsi="Arial" w:cs="Arial"/>
          <w:color w:val="000000"/>
          <w:sz w:val="28"/>
          <w:szCs w:val="28"/>
          <w:lang w:eastAsia="es-MX"/>
        </w:rPr>
        <w:t xml:space="preserve">Se autoriza a la Secretaría de Hacienda para que, dentro de los primeros 90 días del ejercicio fiscal 2021, con cargo al presupuesto asignado a la Universidad Autónoma de Chihuahua, se reintegre el monto adeudado a Pensiones Civiles del Estado, por la cantidad de </w:t>
      </w:r>
      <w:r w:rsidRPr="00426084">
        <w:rPr>
          <w:rFonts w:ascii="Arial" w:eastAsia="Times New Roman" w:hAnsi="Arial" w:cs="Arial"/>
          <w:b/>
          <w:bCs/>
          <w:color w:val="000000"/>
          <w:sz w:val="28"/>
          <w:szCs w:val="28"/>
          <w:lang w:eastAsia="es-MX"/>
        </w:rPr>
        <w:t>$310 ́000,000.00 (trescientos diez millones, de pesos 00/100 M.N.),</w:t>
      </w:r>
      <w:r w:rsidRPr="00426084">
        <w:rPr>
          <w:rFonts w:ascii="Arial" w:eastAsia="Times New Roman" w:hAnsi="Arial" w:cs="Arial"/>
          <w:color w:val="000000"/>
          <w:sz w:val="28"/>
          <w:szCs w:val="28"/>
          <w:lang w:eastAsia="es-MX"/>
        </w:rPr>
        <w:t xml:space="preserve"> por concepto de aportaciones, diferencial médico, jubilados y pensionados. </w:t>
      </w:r>
    </w:p>
    <w:p w14:paraId="6B5AB052" w14:textId="77777777" w:rsidR="00AA3C1D" w:rsidRDefault="00AA3C1D" w:rsidP="004C7C1B">
      <w:pPr>
        <w:spacing w:before="240" w:after="240" w:line="360" w:lineRule="auto"/>
        <w:jc w:val="center"/>
        <w:rPr>
          <w:rFonts w:ascii="Arial" w:eastAsia="Times New Roman" w:hAnsi="Arial" w:cs="Arial"/>
          <w:b/>
          <w:bCs/>
          <w:color w:val="000000"/>
          <w:sz w:val="28"/>
          <w:szCs w:val="28"/>
          <w:lang w:eastAsia="es-MX"/>
        </w:rPr>
      </w:pPr>
    </w:p>
    <w:p w14:paraId="43248DB9" w14:textId="112B2730" w:rsidR="00E851E8" w:rsidRDefault="00E851E8" w:rsidP="004C7C1B">
      <w:pPr>
        <w:spacing w:before="240" w:after="240" w:line="360" w:lineRule="auto"/>
        <w:jc w:val="center"/>
        <w:rPr>
          <w:rFonts w:ascii="Arial" w:eastAsia="Times New Roman" w:hAnsi="Arial" w:cs="Arial"/>
          <w:b/>
          <w:bCs/>
          <w:color w:val="000000"/>
          <w:sz w:val="28"/>
          <w:szCs w:val="28"/>
          <w:lang w:eastAsia="es-MX"/>
        </w:rPr>
      </w:pPr>
      <w:r>
        <w:rPr>
          <w:rFonts w:ascii="Arial" w:eastAsia="Times New Roman" w:hAnsi="Arial" w:cs="Arial"/>
          <w:b/>
          <w:bCs/>
          <w:color w:val="000000"/>
          <w:sz w:val="28"/>
          <w:szCs w:val="28"/>
          <w:lang w:eastAsia="es-MX"/>
        </w:rPr>
        <w:t>PROPUESTA ADICIÓN DE TRANSITORIOS</w:t>
      </w:r>
    </w:p>
    <w:p w14:paraId="6D5793A2" w14:textId="77777777" w:rsidR="00AA3C1D" w:rsidRDefault="00AA3C1D" w:rsidP="004C7C1B">
      <w:pPr>
        <w:spacing w:before="240" w:after="240" w:line="360" w:lineRule="auto"/>
        <w:jc w:val="center"/>
        <w:rPr>
          <w:rFonts w:ascii="Arial" w:eastAsia="Times New Roman" w:hAnsi="Arial" w:cs="Arial"/>
          <w:b/>
          <w:bCs/>
          <w:color w:val="000000"/>
          <w:sz w:val="28"/>
          <w:szCs w:val="28"/>
          <w:lang w:eastAsia="es-MX"/>
        </w:rPr>
      </w:pPr>
    </w:p>
    <w:p w14:paraId="7BFD9822" w14:textId="15AEF067" w:rsidR="00426084" w:rsidRPr="00426084" w:rsidRDefault="00426084" w:rsidP="00426084">
      <w:pPr>
        <w:spacing w:before="240" w:after="240" w:line="360" w:lineRule="auto"/>
        <w:jc w:val="both"/>
        <w:rPr>
          <w:rFonts w:ascii="Times New Roman" w:eastAsia="Times New Roman" w:hAnsi="Times New Roman" w:cs="Times New Roman"/>
          <w:color w:val="000000"/>
          <w:lang w:eastAsia="es-MX"/>
        </w:rPr>
      </w:pPr>
      <w:r w:rsidRPr="00426084">
        <w:rPr>
          <w:rFonts w:ascii="Arial" w:eastAsia="Times New Roman" w:hAnsi="Arial" w:cs="Arial"/>
          <w:b/>
          <w:bCs/>
          <w:color w:val="000000"/>
          <w:sz w:val="28"/>
          <w:szCs w:val="28"/>
          <w:lang w:eastAsia="es-MX"/>
        </w:rPr>
        <w:t xml:space="preserve">ARTÍCULO DECIMOCUARTO.- </w:t>
      </w:r>
      <w:r w:rsidRPr="00426084">
        <w:rPr>
          <w:rFonts w:ascii="Arial" w:eastAsia="Times New Roman" w:hAnsi="Arial" w:cs="Arial"/>
          <w:color w:val="000000"/>
          <w:sz w:val="28"/>
          <w:szCs w:val="28"/>
          <w:lang w:eastAsia="es-MX"/>
        </w:rPr>
        <w:t xml:space="preserve">La Secretaría de Hacienda deberá transferir el recurso </w:t>
      </w:r>
      <w:r w:rsidR="004E5F32">
        <w:rPr>
          <w:rFonts w:ascii="Arial" w:eastAsia="Times New Roman" w:hAnsi="Arial" w:cs="Arial"/>
          <w:color w:val="000000"/>
          <w:sz w:val="28"/>
          <w:szCs w:val="28"/>
          <w:lang w:eastAsia="es-MX"/>
        </w:rPr>
        <w:t>suficiente</w:t>
      </w:r>
      <w:r w:rsidRPr="00426084">
        <w:rPr>
          <w:rFonts w:ascii="Arial" w:eastAsia="Times New Roman" w:hAnsi="Arial" w:cs="Arial"/>
          <w:color w:val="000000"/>
          <w:sz w:val="28"/>
          <w:szCs w:val="28"/>
          <w:lang w:eastAsia="es-MX"/>
        </w:rPr>
        <w:t xml:space="preserve"> a Pensiones Civiles del Estado</w:t>
      </w:r>
      <w:r w:rsidR="00D607E6">
        <w:rPr>
          <w:rFonts w:ascii="Arial" w:eastAsia="Times New Roman" w:hAnsi="Arial" w:cs="Arial"/>
          <w:color w:val="000000"/>
          <w:sz w:val="28"/>
          <w:szCs w:val="28"/>
          <w:lang w:eastAsia="es-MX"/>
        </w:rPr>
        <w:t>,</w:t>
      </w:r>
      <w:r w:rsidRPr="00426084">
        <w:rPr>
          <w:rFonts w:ascii="Arial" w:eastAsia="Times New Roman" w:hAnsi="Arial" w:cs="Arial"/>
          <w:color w:val="000000"/>
          <w:sz w:val="28"/>
          <w:szCs w:val="28"/>
          <w:lang w:eastAsia="es-MX"/>
        </w:rPr>
        <w:t xml:space="preserve"> durante los primeros 10 días del mes de Enero de</w:t>
      </w:r>
      <w:r w:rsidR="004E5F32">
        <w:rPr>
          <w:rFonts w:ascii="Arial" w:eastAsia="Times New Roman" w:hAnsi="Arial" w:cs="Arial"/>
          <w:color w:val="000000"/>
          <w:sz w:val="28"/>
          <w:szCs w:val="28"/>
          <w:lang w:eastAsia="es-MX"/>
        </w:rPr>
        <w:t>l año</w:t>
      </w:r>
      <w:r w:rsidRPr="00426084">
        <w:rPr>
          <w:rFonts w:ascii="Arial" w:eastAsia="Times New Roman" w:hAnsi="Arial" w:cs="Arial"/>
          <w:color w:val="000000"/>
          <w:sz w:val="28"/>
          <w:szCs w:val="28"/>
          <w:lang w:eastAsia="es-MX"/>
        </w:rPr>
        <w:t xml:space="preserve"> 2021, a efecto de garantizar el pago de la segunda parte del Aguinaldo</w:t>
      </w:r>
      <w:r w:rsidR="004E5F32">
        <w:rPr>
          <w:rFonts w:ascii="Arial" w:eastAsia="Times New Roman" w:hAnsi="Arial" w:cs="Arial"/>
          <w:color w:val="000000"/>
          <w:sz w:val="28"/>
          <w:szCs w:val="28"/>
          <w:lang w:eastAsia="es-MX"/>
        </w:rPr>
        <w:t xml:space="preserve"> de los</w:t>
      </w:r>
      <w:r w:rsidRPr="00426084">
        <w:rPr>
          <w:rFonts w:ascii="Arial" w:eastAsia="Times New Roman" w:hAnsi="Arial" w:cs="Arial"/>
          <w:color w:val="000000"/>
          <w:sz w:val="28"/>
          <w:szCs w:val="28"/>
          <w:lang w:eastAsia="es-MX"/>
        </w:rPr>
        <w:t xml:space="preserve"> Pensionados y</w:t>
      </w:r>
      <w:r w:rsidR="004E5F32">
        <w:rPr>
          <w:rFonts w:ascii="Arial" w:eastAsia="Times New Roman" w:hAnsi="Arial" w:cs="Arial"/>
          <w:color w:val="000000"/>
          <w:sz w:val="28"/>
          <w:szCs w:val="28"/>
          <w:lang w:eastAsia="es-MX"/>
        </w:rPr>
        <w:t>/o</w:t>
      </w:r>
      <w:r w:rsidRPr="00426084">
        <w:rPr>
          <w:rFonts w:ascii="Arial" w:eastAsia="Times New Roman" w:hAnsi="Arial" w:cs="Arial"/>
          <w:color w:val="000000"/>
          <w:sz w:val="28"/>
          <w:szCs w:val="28"/>
          <w:lang w:eastAsia="es-MX"/>
        </w:rPr>
        <w:t xml:space="preserve"> Jubilados</w:t>
      </w:r>
      <w:r>
        <w:rPr>
          <w:rFonts w:ascii="Arial" w:eastAsia="Times New Roman" w:hAnsi="Arial" w:cs="Arial"/>
          <w:color w:val="000000"/>
          <w:sz w:val="28"/>
          <w:szCs w:val="28"/>
          <w:lang w:eastAsia="es-MX"/>
        </w:rPr>
        <w:t xml:space="preserve"> </w:t>
      </w:r>
      <w:r w:rsidR="004E5F32">
        <w:rPr>
          <w:rFonts w:ascii="Arial" w:eastAsia="Times New Roman" w:hAnsi="Arial" w:cs="Arial"/>
          <w:color w:val="000000"/>
          <w:sz w:val="28"/>
          <w:szCs w:val="28"/>
          <w:lang w:eastAsia="es-MX"/>
        </w:rPr>
        <w:t>correspondiente al</w:t>
      </w:r>
      <w:r>
        <w:rPr>
          <w:rFonts w:ascii="Arial" w:eastAsia="Times New Roman" w:hAnsi="Arial" w:cs="Arial"/>
          <w:color w:val="000000"/>
          <w:sz w:val="28"/>
          <w:szCs w:val="28"/>
          <w:lang w:eastAsia="es-MX"/>
        </w:rPr>
        <w:t xml:space="preserve"> año 2020,</w:t>
      </w:r>
      <w:r w:rsidRPr="00426084">
        <w:rPr>
          <w:rFonts w:ascii="Arial" w:eastAsia="Times New Roman" w:hAnsi="Arial" w:cs="Arial"/>
          <w:color w:val="000000"/>
          <w:sz w:val="28"/>
          <w:szCs w:val="28"/>
          <w:lang w:eastAsia="es-MX"/>
        </w:rPr>
        <w:t xml:space="preserve"> antes del día 15 de enero de</w:t>
      </w:r>
      <w:r w:rsidR="004E5F32">
        <w:rPr>
          <w:rFonts w:ascii="Arial" w:eastAsia="Times New Roman" w:hAnsi="Arial" w:cs="Arial"/>
          <w:color w:val="000000"/>
          <w:sz w:val="28"/>
          <w:szCs w:val="28"/>
          <w:lang w:eastAsia="es-MX"/>
        </w:rPr>
        <w:t>l año</w:t>
      </w:r>
      <w:r w:rsidRPr="00426084">
        <w:rPr>
          <w:rFonts w:ascii="Arial" w:eastAsia="Times New Roman" w:hAnsi="Arial" w:cs="Arial"/>
          <w:color w:val="000000"/>
          <w:sz w:val="28"/>
          <w:szCs w:val="28"/>
          <w:lang w:eastAsia="es-MX"/>
        </w:rPr>
        <w:t xml:space="preserve"> 2021. </w:t>
      </w:r>
    </w:p>
    <w:p w14:paraId="4AC24B9C" w14:textId="77777777" w:rsidR="00426084" w:rsidRPr="00426084" w:rsidRDefault="00426084" w:rsidP="00426084">
      <w:pPr>
        <w:spacing w:after="240"/>
        <w:rPr>
          <w:rFonts w:ascii="Times New Roman" w:eastAsia="Times New Roman" w:hAnsi="Times New Roman" w:cs="Times New Roman"/>
          <w:lang w:eastAsia="es-MX"/>
        </w:rPr>
      </w:pPr>
    </w:p>
    <w:p w14:paraId="0A88CAC3" w14:textId="362CA5C7" w:rsidR="00426084" w:rsidRPr="00426084" w:rsidRDefault="00426084" w:rsidP="00426084">
      <w:pPr>
        <w:spacing w:before="240" w:after="240" w:line="360" w:lineRule="auto"/>
        <w:jc w:val="both"/>
        <w:rPr>
          <w:rFonts w:ascii="Times New Roman" w:eastAsia="Times New Roman" w:hAnsi="Times New Roman" w:cs="Times New Roman"/>
          <w:color w:val="000000"/>
          <w:sz w:val="28"/>
          <w:szCs w:val="28"/>
          <w:lang w:eastAsia="es-MX"/>
        </w:rPr>
      </w:pPr>
      <w:r w:rsidRPr="00426084">
        <w:rPr>
          <w:rFonts w:ascii="Arial" w:eastAsia="Times New Roman" w:hAnsi="Arial" w:cs="Arial"/>
          <w:b/>
          <w:bCs/>
          <w:color w:val="000000"/>
          <w:sz w:val="28"/>
          <w:szCs w:val="28"/>
          <w:lang w:eastAsia="es-MX"/>
        </w:rPr>
        <w:t xml:space="preserve">ARTÍCULO DECIMOQUINTO.-  </w:t>
      </w:r>
      <w:r w:rsidRPr="00426084">
        <w:rPr>
          <w:rFonts w:ascii="Arial" w:eastAsia="Times New Roman" w:hAnsi="Arial" w:cs="Arial"/>
          <w:color w:val="000000"/>
          <w:sz w:val="28"/>
          <w:szCs w:val="28"/>
          <w:lang w:eastAsia="es-MX"/>
        </w:rPr>
        <w:t>La Secretaría de Hacienda deberá de transferir el recurso suficiente y necesario a Pensiones Civiles del Estado</w:t>
      </w:r>
      <w:r w:rsidR="00D607E6">
        <w:rPr>
          <w:rFonts w:ascii="Arial" w:eastAsia="Times New Roman" w:hAnsi="Arial" w:cs="Arial"/>
          <w:color w:val="000000"/>
          <w:sz w:val="28"/>
          <w:szCs w:val="28"/>
          <w:lang w:eastAsia="es-MX"/>
        </w:rPr>
        <w:t>,</w:t>
      </w:r>
      <w:r w:rsidRPr="00426084">
        <w:rPr>
          <w:rFonts w:ascii="Arial" w:eastAsia="Times New Roman" w:hAnsi="Arial" w:cs="Arial"/>
          <w:color w:val="000000"/>
          <w:sz w:val="28"/>
          <w:szCs w:val="28"/>
          <w:lang w:eastAsia="es-MX"/>
        </w:rPr>
        <w:t xml:space="preserve"> durante los primeros 15 días del mes de noviembre de</w:t>
      </w:r>
      <w:r w:rsidR="004E5F32">
        <w:rPr>
          <w:rFonts w:ascii="Arial" w:eastAsia="Times New Roman" w:hAnsi="Arial" w:cs="Arial"/>
          <w:color w:val="000000"/>
          <w:sz w:val="28"/>
          <w:szCs w:val="28"/>
          <w:lang w:eastAsia="es-MX"/>
        </w:rPr>
        <w:t xml:space="preserve">l año </w:t>
      </w:r>
      <w:r w:rsidRPr="00426084">
        <w:rPr>
          <w:rFonts w:ascii="Arial" w:eastAsia="Times New Roman" w:hAnsi="Arial" w:cs="Arial"/>
          <w:color w:val="000000"/>
          <w:sz w:val="28"/>
          <w:szCs w:val="28"/>
          <w:lang w:eastAsia="es-MX"/>
        </w:rPr>
        <w:t xml:space="preserve">2021, a efecto de garantizar que el pago del </w:t>
      </w:r>
      <w:r w:rsidR="00D607E6">
        <w:rPr>
          <w:rFonts w:ascii="Arial" w:eastAsia="Times New Roman" w:hAnsi="Arial" w:cs="Arial"/>
          <w:color w:val="000000"/>
          <w:sz w:val="28"/>
          <w:szCs w:val="28"/>
          <w:lang w:eastAsia="es-MX"/>
        </w:rPr>
        <w:t>a</w:t>
      </w:r>
      <w:r w:rsidRPr="00426084">
        <w:rPr>
          <w:rFonts w:ascii="Arial" w:eastAsia="Times New Roman" w:hAnsi="Arial" w:cs="Arial"/>
          <w:color w:val="000000"/>
          <w:sz w:val="28"/>
          <w:szCs w:val="28"/>
          <w:lang w:eastAsia="es-MX"/>
        </w:rPr>
        <w:t>guinaldo</w:t>
      </w:r>
      <w:r w:rsidR="00821DA2">
        <w:rPr>
          <w:rFonts w:ascii="Arial" w:eastAsia="Times New Roman" w:hAnsi="Arial" w:cs="Arial"/>
          <w:color w:val="000000"/>
          <w:sz w:val="28"/>
          <w:szCs w:val="28"/>
          <w:lang w:eastAsia="es-MX"/>
        </w:rPr>
        <w:t xml:space="preserve"> y bono navideño</w:t>
      </w:r>
      <w:r w:rsidRPr="00426084">
        <w:rPr>
          <w:rFonts w:ascii="Arial" w:eastAsia="Times New Roman" w:hAnsi="Arial" w:cs="Arial"/>
          <w:color w:val="000000"/>
          <w:sz w:val="28"/>
          <w:szCs w:val="28"/>
          <w:lang w:eastAsia="es-MX"/>
        </w:rPr>
        <w:t xml:space="preserve"> de los Pensionados y</w:t>
      </w:r>
      <w:r w:rsidR="004E5F32">
        <w:rPr>
          <w:rFonts w:ascii="Arial" w:eastAsia="Times New Roman" w:hAnsi="Arial" w:cs="Arial"/>
          <w:color w:val="000000"/>
          <w:sz w:val="28"/>
          <w:szCs w:val="28"/>
          <w:lang w:eastAsia="es-MX"/>
        </w:rPr>
        <w:t>/o</w:t>
      </w:r>
      <w:r w:rsidRPr="00426084">
        <w:rPr>
          <w:rFonts w:ascii="Arial" w:eastAsia="Times New Roman" w:hAnsi="Arial" w:cs="Arial"/>
          <w:color w:val="000000"/>
          <w:sz w:val="28"/>
          <w:szCs w:val="28"/>
          <w:lang w:eastAsia="es-MX"/>
        </w:rPr>
        <w:t xml:space="preserve"> Jubilados</w:t>
      </w:r>
      <w:r>
        <w:rPr>
          <w:rFonts w:ascii="Arial" w:eastAsia="Times New Roman" w:hAnsi="Arial" w:cs="Arial"/>
          <w:color w:val="000000"/>
          <w:sz w:val="28"/>
          <w:szCs w:val="28"/>
          <w:lang w:eastAsia="es-MX"/>
        </w:rPr>
        <w:t xml:space="preserve"> correspondiente al año 2021</w:t>
      </w:r>
      <w:r w:rsidRPr="00426084">
        <w:rPr>
          <w:rFonts w:ascii="Arial" w:eastAsia="Times New Roman" w:hAnsi="Arial" w:cs="Arial"/>
          <w:color w:val="000000"/>
          <w:sz w:val="28"/>
          <w:szCs w:val="28"/>
          <w:lang w:eastAsia="es-MX"/>
        </w:rPr>
        <w:t xml:space="preserve"> pueda darse en una sola exhibición a más tardar el 30 de noviembre de</w:t>
      </w:r>
      <w:r w:rsidR="004E5F32">
        <w:rPr>
          <w:rFonts w:ascii="Arial" w:eastAsia="Times New Roman" w:hAnsi="Arial" w:cs="Arial"/>
          <w:color w:val="000000"/>
          <w:sz w:val="28"/>
          <w:szCs w:val="28"/>
          <w:lang w:eastAsia="es-MX"/>
        </w:rPr>
        <w:t>l año</w:t>
      </w:r>
      <w:r w:rsidRPr="00426084">
        <w:rPr>
          <w:rFonts w:ascii="Arial" w:eastAsia="Times New Roman" w:hAnsi="Arial" w:cs="Arial"/>
          <w:color w:val="000000"/>
          <w:sz w:val="28"/>
          <w:szCs w:val="28"/>
          <w:lang w:eastAsia="es-MX"/>
        </w:rPr>
        <w:t xml:space="preserve"> 2021.</w:t>
      </w:r>
    </w:p>
    <w:p w14:paraId="3CD7574F" w14:textId="77777777" w:rsidR="00426084" w:rsidRPr="00426084" w:rsidRDefault="00426084" w:rsidP="00426084">
      <w:pPr>
        <w:spacing w:line="360" w:lineRule="auto"/>
        <w:rPr>
          <w:rFonts w:ascii="Times New Roman" w:eastAsia="Times New Roman" w:hAnsi="Times New Roman" w:cs="Times New Roman"/>
          <w:color w:val="000000"/>
          <w:sz w:val="28"/>
          <w:szCs w:val="28"/>
          <w:lang w:eastAsia="es-MX"/>
        </w:rPr>
      </w:pPr>
    </w:p>
    <w:p w14:paraId="2C3D3B94" w14:textId="77777777" w:rsidR="00426084" w:rsidRPr="00426084" w:rsidRDefault="00426084" w:rsidP="00426084">
      <w:pPr>
        <w:spacing w:after="200" w:line="360" w:lineRule="auto"/>
        <w:jc w:val="both"/>
        <w:rPr>
          <w:rFonts w:ascii="Times New Roman" w:eastAsia="Times New Roman" w:hAnsi="Times New Roman" w:cs="Times New Roman"/>
          <w:color w:val="000000"/>
          <w:sz w:val="28"/>
          <w:szCs w:val="28"/>
          <w:lang w:eastAsia="es-MX"/>
        </w:rPr>
      </w:pPr>
      <w:r w:rsidRPr="00426084">
        <w:rPr>
          <w:rFonts w:ascii="Arial" w:eastAsia="Times New Roman" w:hAnsi="Arial" w:cs="Arial"/>
          <w:b/>
          <w:bCs/>
          <w:color w:val="000000"/>
          <w:sz w:val="28"/>
          <w:szCs w:val="28"/>
          <w:lang w:eastAsia="es-MX"/>
        </w:rPr>
        <w:t>DADO en el Salón de Sesiones del Poder Legislativo a los treinta días del mes de diciembre del año dos mil veinte.</w:t>
      </w:r>
    </w:p>
    <w:p w14:paraId="44237A5A" w14:textId="77777777" w:rsidR="00426084" w:rsidRPr="00426084" w:rsidRDefault="00426084" w:rsidP="00426084">
      <w:pPr>
        <w:spacing w:after="200" w:line="360" w:lineRule="auto"/>
        <w:jc w:val="both"/>
        <w:rPr>
          <w:rFonts w:ascii="Times New Roman" w:eastAsia="Times New Roman" w:hAnsi="Times New Roman" w:cs="Times New Roman"/>
          <w:color w:val="000000"/>
          <w:sz w:val="28"/>
          <w:szCs w:val="28"/>
          <w:lang w:eastAsia="es-MX"/>
        </w:rPr>
      </w:pPr>
      <w:r w:rsidRPr="00426084">
        <w:rPr>
          <w:rFonts w:ascii="Arial" w:eastAsia="Times New Roman" w:hAnsi="Arial" w:cs="Arial"/>
          <w:b/>
          <w:bCs/>
          <w:color w:val="000000"/>
          <w:sz w:val="28"/>
          <w:szCs w:val="28"/>
          <w:lang w:eastAsia="es-MX"/>
        </w:rPr>
        <w:t> </w:t>
      </w:r>
    </w:p>
    <w:p w14:paraId="2E02C5B2" w14:textId="77777777" w:rsidR="00AA3C1D" w:rsidRDefault="00AA3C1D" w:rsidP="00426084">
      <w:pPr>
        <w:spacing w:line="360" w:lineRule="auto"/>
        <w:jc w:val="center"/>
        <w:rPr>
          <w:rFonts w:ascii="Arial" w:eastAsia="Times New Roman" w:hAnsi="Arial" w:cs="Arial"/>
          <w:b/>
          <w:bCs/>
          <w:color w:val="000000"/>
          <w:sz w:val="28"/>
          <w:szCs w:val="28"/>
          <w:lang w:eastAsia="es-MX"/>
        </w:rPr>
      </w:pPr>
    </w:p>
    <w:p w14:paraId="2019A384" w14:textId="53C7AB48" w:rsidR="00426084" w:rsidRDefault="00426084" w:rsidP="00426084">
      <w:pPr>
        <w:spacing w:line="360" w:lineRule="auto"/>
        <w:jc w:val="center"/>
        <w:rPr>
          <w:rFonts w:ascii="Arial" w:eastAsia="Times New Roman" w:hAnsi="Arial" w:cs="Arial"/>
          <w:b/>
          <w:bCs/>
          <w:color w:val="000000"/>
          <w:sz w:val="28"/>
          <w:szCs w:val="28"/>
          <w:lang w:eastAsia="es-MX"/>
        </w:rPr>
      </w:pPr>
      <w:r w:rsidRPr="00426084">
        <w:rPr>
          <w:rFonts w:ascii="Arial" w:eastAsia="Times New Roman" w:hAnsi="Arial" w:cs="Arial"/>
          <w:b/>
          <w:bCs/>
          <w:color w:val="000000"/>
          <w:sz w:val="28"/>
          <w:szCs w:val="28"/>
          <w:lang w:eastAsia="es-MX"/>
        </w:rPr>
        <w:t>ATENTAMENTE</w:t>
      </w:r>
    </w:p>
    <w:p w14:paraId="36AE331C" w14:textId="53EB81ED" w:rsidR="00AA3C1D" w:rsidRPr="00426084" w:rsidRDefault="00AA3C1D" w:rsidP="00426084">
      <w:pPr>
        <w:spacing w:line="360" w:lineRule="auto"/>
        <w:jc w:val="center"/>
        <w:rPr>
          <w:rFonts w:ascii="Times New Roman" w:eastAsia="Times New Roman" w:hAnsi="Times New Roman" w:cs="Times New Roman"/>
          <w:color w:val="000000"/>
          <w:sz w:val="28"/>
          <w:szCs w:val="28"/>
          <w:lang w:eastAsia="es-MX"/>
        </w:rPr>
      </w:pPr>
      <w:r w:rsidRPr="0085353F">
        <w:rPr>
          <w:noProof/>
          <w:lang w:eastAsia="es-MX"/>
        </w:rPr>
        <w:drawing>
          <wp:inline distT="0" distB="0" distL="0" distR="0" wp14:anchorId="0CE44940" wp14:editId="2CDAE229">
            <wp:extent cx="5612130" cy="2752090"/>
            <wp:effectExtent l="0" t="0" r="127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2752090"/>
                    </a:xfrm>
                    <a:prstGeom prst="rect">
                      <a:avLst/>
                    </a:prstGeom>
                  </pic:spPr>
                </pic:pic>
              </a:graphicData>
            </a:graphic>
          </wp:inline>
        </w:drawing>
      </w:r>
    </w:p>
    <w:p w14:paraId="0AE2C4D8" w14:textId="77777777" w:rsidR="00426084" w:rsidRDefault="00426084" w:rsidP="00426084">
      <w:pPr>
        <w:spacing w:line="360" w:lineRule="auto"/>
        <w:jc w:val="center"/>
        <w:rPr>
          <w:rFonts w:ascii="Arial" w:eastAsia="Times New Roman" w:hAnsi="Arial" w:cs="Arial"/>
          <w:b/>
          <w:bCs/>
          <w:color w:val="000000"/>
          <w:sz w:val="28"/>
          <w:szCs w:val="28"/>
          <w:lang w:eastAsia="es-MX"/>
        </w:rPr>
      </w:pPr>
      <w:r w:rsidRPr="00426084">
        <w:rPr>
          <w:rFonts w:ascii="Arial" w:eastAsia="Times New Roman" w:hAnsi="Arial" w:cs="Arial"/>
          <w:b/>
          <w:bCs/>
          <w:color w:val="000000"/>
          <w:sz w:val="28"/>
          <w:szCs w:val="28"/>
          <w:lang w:eastAsia="es-MX"/>
        </w:rPr>
        <w:t>DIP. RENÉ FRÍAS BENCOM</w:t>
      </w:r>
      <w:r>
        <w:rPr>
          <w:rFonts w:ascii="Arial" w:eastAsia="Times New Roman" w:hAnsi="Arial" w:cs="Arial"/>
          <w:b/>
          <w:bCs/>
          <w:color w:val="000000"/>
          <w:sz w:val="28"/>
          <w:szCs w:val="28"/>
          <w:lang w:eastAsia="es-MX"/>
        </w:rPr>
        <w:t>O</w:t>
      </w:r>
    </w:p>
    <w:p w14:paraId="791DCE26" w14:textId="77777777" w:rsidR="00426084" w:rsidRDefault="00426084" w:rsidP="00426084">
      <w:pPr>
        <w:spacing w:line="360" w:lineRule="auto"/>
        <w:rPr>
          <w:rFonts w:ascii="Times New Roman" w:eastAsia="Times New Roman" w:hAnsi="Times New Roman" w:cs="Times New Roman"/>
          <w:color w:val="000000"/>
          <w:sz w:val="28"/>
          <w:szCs w:val="28"/>
          <w:lang w:eastAsia="es-MX"/>
        </w:rPr>
      </w:pPr>
    </w:p>
    <w:p w14:paraId="73D127B5" w14:textId="77777777" w:rsidR="00AA3C1D" w:rsidRDefault="00AA3C1D" w:rsidP="00426084">
      <w:pPr>
        <w:spacing w:line="360" w:lineRule="auto"/>
        <w:rPr>
          <w:rFonts w:ascii="Times New Roman" w:eastAsia="Times New Roman" w:hAnsi="Times New Roman" w:cs="Times New Roman"/>
          <w:color w:val="000000"/>
          <w:sz w:val="28"/>
          <w:szCs w:val="28"/>
          <w:lang w:eastAsia="es-MX"/>
        </w:rPr>
      </w:pPr>
    </w:p>
    <w:p w14:paraId="26B0BC8A" w14:textId="15EF0E5A" w:rsidR="00AA3C1D" w:rsidRPr="00AA3C1D" w:rsidRDefault="00AA3C1D" w:rsidP="00426084">
      <w:pPr>
        <w:spacing w:line="360" w:lineRule="auto"/>
        <w:rPr>
          <w:rFonts w:ascii="Arial" w:eastAsia="Times New Roman" w:hAnsi="Arial" w:cs="Arial"/>
          <w:color w:val="000000"/>
          <w:sz w:val="20"/>
          <w:szCs w:val="20"/>
          <w:lang w:eastAsia="es-MX"/>
        </w:rPr>
        <w:sectPr w:rsidR="00AA3C1D" w:rsidRPr="00AA3C1D">
          <w:pgSz w:w="12240" w:h="15840"/>
          <w:pgMar w:top="3080" w:right="1240" w:bottom="1340" w:left="1180" w:header="714" w:footer="1160" w:gutter="0"/>
          <w:cols w:space="720"/>
        </w:sectPr>
      </w:pPr>
      <w:r w:rsidRPr="00AA3C1D">
        <w:rPr>
          <w:rFonts w:ascii="Arial" w:eastAsia="Times New Roman" w:hAnsi="Arial" w:cs="Arial"/>
          <w:color w:val="000000"/>
          <w:sz w:val="20"/>
          <w:szCs w:val="20"/>
          <w:lang w:eastAsia="es-MX"/>
        </w:rPr>
        <w:t>La presente Hoja de firma corresponde a las reservas  correspondientes al dictamen que versa en Iniciativa para el Presupuesto de Egresos del ejercicio fiscal 2021</w:t>
      </w:r>
    </w:p>
    <w:p w14:paraId="439A8C70" w14:textId="77777777" w:rsidR="00F058F1" w:rsidRDefault="00F058F1" w:rsidP="00F058F1">
      <w:pPr>
        <w:spacing w:line="302" w:lineRule="auto"/>
        <w:jc w:val="both"/>
        <w:sectPr w:rsidR="00F058F1">
          <w:pgSz w:w="12240" w:h="15840"/>
          <w:pgMar w:top="3080" w:right="1240" w:bottom="1340" w:left="1180" w:header="714" w:footer="1160" w:gutter="0"/>
          <w:cols w:space="720"/>
        </w:sectPr>
      </w:pPr>
    </w:p>
    <w:p w14:paraId="1B0A87D2" w14:textId="77777777" w:rsidR="00F058F1" w:rsidRDefault="00F058F1" w:rsidP="00F058F1">
      <w:pPr>
        <w:pStyle w:val="Textoindependiente"/>
        <w:spacing w:before="1"/>
        <w:rPr>
          <w:sz w:val="22"/>
        </w:rPr>
      </w:pPr>
    </w:p>
    <w:p w14:paraId="48D3EAEA" w14:textId="77777777" w:rsidR="0040281F" w:rsidRDefault="0040281F" w:rsidP="0040281F">
      <w:pPr>
        <w:pStyle w:val="NormalWeb"/>
      </w:pPr>
    </w:p>
    <w:p w14:paraId="4E3C6B8A" w14:textId="77777777" w:rsidR="0040281F" w:rsidRDefault="0040281F" w:rsidP="0040281F">
      <w:pPr>
        <w:pStyle w:val="NormalWeb"/>
        <w:jc w:val="both"/>
      </w:pPr>
    </w:p>
    <w:p w14:paraId="565D9846" w14:textId="77777777" w:rsidR="0040281F" w:rsidRDefault="0040281F"/>
    <w:sectPr w:rsidR="0040281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AA326" w14:textId="77777777" w:rsidR="00A639ED" w:rsidRDefault="00A639ED" w:rsidP="00F058F1">
      <w:r>
        <w:separator/>
      </w:r>
    </w:p>
  </w:endnote>
  <w:endnote w:type="continuationSeparator" w:id="0">
    <w:p w14:paraId="1AFA29C5" w14:textId="77777777" w:rsidR="00A639ED" w:rsidRDefault="00A639ED" w:rsidP="00F05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eXGyreAdventor">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21EE4" w14:textId="7E853850" w:rsidR="006F4ACD" w:rsidRDefault="007D564B">
    <w:pPr>
      <w:pStyle w:val="Textoindependiente"/>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064D7" w14:textId="77777777" w:rsidR="00A639ED" w:rsidRDefault="00A639ED" w:rsidP="00F058F1">
      <w:r>
        <w:separator/>
      </w:r>
    </w:p>
  </w:footnote>
  <w:footnote w:type="continuationSeparator" w:id="0">
    <w:p w14:paraId="1D3B7F47" w14:textId="77777777" w:rsidR="00A639ED" w:rsidRDefault="00A639ED" w:rsidP="00F058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AD12A" w14:textId="77777777" w:rsidR="006F4ACD" w:rsidRDefault="007D564B">
    <w:pPr>
      <w:pStyle w:val="Textoindependiente"/>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471C8B"/>
    <w:multiLevelType w:val="hybridMultilevel"/>
    <w:tmpl w:val="4CEA3F16"/>
    <w:lvl w:ilvl="0" w:tplc="9244B062">
      <w:start w:val="1"/>
      <w:numFmt w:val="decimal"/>
      <w:lvlText w:val="%1)"/>
      <w:lvlJc w:val="left"/>
      <w:pPr>
        <w:ind w:left="71" w:hanging="317"/>
        <w:jc w:val="left"/>
      </w:pPr>
      <w:rPr>
        <w:rFonts w:ascii="TeXGyreAdventor" w:eastAsia="TeXGyreAdventor" w:hAnsi="TeXGyreAdventor" w:cs="TeXGyreAdventor" w:hint="default"/>
        <w:spacing w:val="0"/>
        <w:w w:val="100"/>
        <w:sz w:val="24"/>
        <w:szCs w:val="24"/>
        <w:lang w:val="es-ES" w:eastAsia="en-US" w:bidi="ar-SA"/>
      </w:rPr>
    </w:lvl>
    <w:lvl w:ilvl="1" w:tplc="20B41498">
      <w:numFmt w:val="bullet"/>
      <w:lvlText w:val="•"/>
      <w:lvlJc w:val="left"/>
      <w:pPr>
        <w:ind w:left="425" w:hanging="317"/>
      </w:pPr>
      <w:rPr>
        <w:rFonts w:hint="default"/>
        <w:lang w:val="es-ES" w:eastAsia="en-US" w:bidi="ar-SA"/>
      </w:rPr>
    </w:lvl>
    <w:lvl w:ilvl="2" w:tplc="7B1C5184">
      <w:numFmt w:val="bullet"/>
      <w:lvlText w:val="•"/>
      <w:lvlJc w:val="left"/>
      <w:pPr>
        <w:ind w:left="770" w:hanging="317"/>
      </w:pPr>
      <w:rPr>
        <w:rFonts w:hint="default"/>
        <w:lang w:val="es-ES" w:eastAsia="en-US" w:bidi="ar-SA"/>
      </w:rPr>
    </w:lvl>
    <w:lvl w:ilvl="3" w:tplc="C09CA4E0">
      <w:numFmt w:val="bullet"/>
      <w:lvlText w:val="•"/>
      <w:lvlJc w:val="left"/>
      <w:pPr>
        <w:ind w:left="1115" w:hanging="317"/>
      </w:pPr>
      <w:rPr>
        <w:rFonts w:hint="default"/>
        <w:lang w:val="es-ES" w:eastAsia="en-US" w:bidi="ar-SA"/>
      </w:rPr>
    </w:lvl>
    <w:lvl w:ilvl="4" w:tplc="B9EC1C4E">
      <w:numFmt w:val="bullet"/>
      <w:lvlText w:val="•"/>
      <w:lvlJc w:val="left"/>
      <w:pPr>
        <w:ind w:left="1461" w:hanging="317"/>
      </w:pPr>
      <w:rPr>
        <w:rFonts w:hint="default"/>
        <w:lang w:val="es-ES" w:eastAsia="en-US" w:bidi="ar-SA"/>
      </w:rPr>
    </w:lvl>
    <w:lvl w:ilvl="5" w:tplc="466E6F68">
      <w:numFmt w:val="bullet"/>
      <w:lvlText w:val="•"/>
      <w:lvlJc w:val="left"/>
      <w:pPr>
        <w:ind w:left="1806" w:hanging="317"/>
      </w:pPr>
      <w:rPr>
        <w:rFonts w:hint="default"/>
        <w:lang w:val="es-ES" w:eastAsia="en-US" w:bidi="ar-SA"/>
      </w:rPr>
    </w:lvl>
    <w:lvl w:ilvl="6" w:tplc="4B4E87A2">
      <w:numFmt w:val="bullet"/>
      <w:lvlText w:val="•"/>
      <w:lvlJc w:val="left"/>
      <w:pPr>
        <w:ind w:left="2151" w:hanging="317"/>
      </w:pPr>
      <w:rPr>
        <w:rFonts w:hint="default"/>
        <w:lang w:val="es-ES" w:eastAsia="en-US" w:bidi="ar-SA"/>
      </w:rPr>
    </w:lvl>
    <w:lvl w:ilvl="7" w:tplc="F2EC07A4">
      <w:numFmt w:val="bullet"/>
      <w:lvlText w:val="•"/>
      <w:lvlJc w:val="left"/>
      <w:pPr>
        <w:ind w:left="2497" w:hanging="317"/>
      </w:pPr>
      <w:rPr>
        <w:rFonts w:hint="default"/>
        <w:lang w:val="es-ES" w:eastAsia="en-US" w:bidi="ar-SA"/>
      </w:rPr>
    </w:lvl>
    <w:lvl w:ilvl="8" w:tplc="9C66A188">
      <w:numFmt w:val="bullet"/>
      <w:lvlText w:val="•"/>
      <w:lvlJc w:val="left"/>
      <w:pPr>
        <w:ind w:left="2842" w:hanging="317"/>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1F"/>
    <w:rsid w:val="00236E27"/>
    <w:rsid w:val="0040281F"/>
    <w:rsid w:val="00426084"/>
    <w:rsid w:val="004C7C1B"/>
    <w:rsid w:val="004E5F32"/>
    <w:rsid w:val="005C63B2"/>
    <w:rsid w:val="007D564B"/>
    <w:rsid w:val="00821DA2"/>
    <w:rsid w:val="00A639ED"/>
    <w:rsid w:val="00AA3C1D"/>
    <w:rsid w:val="00D607E6"/>
    <w:rsid w:val="00E851E8"/>
    <w:rsid w:val="00F058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D9D4A"/>
  <w15:chartTrackingRefBased/>
  <w15:docId w15:val="{8D76581F-6AD8-EF42-9E81-9C66A3EC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0281F"/>
    <w:pPr>
      <w:spacing w:before="100" w:beforeAutospacing="1" w:after="100" w:afterAutospacing="1"/>
    </w:pPr>
    <w:rPr>
      <w:rFonts w:ascii="Times New Roman" w:eastAsia="Times New Roman" w:hAnsi="Times New Roman" w:cs="Times New Roman"/>
      <w:lang w:eastAsia="es-MX"/>
    </w:rPr>
  </w:style>
  <w:style w:type="table" w:customStyle="1" w:styleId="TableNormal">
    <w:name w:val="Table Normal"/>
    <w:uiPriority w:val="2"/>
    <w:semiHidden/>
    <w:unhideWhenUsed/>
    <w:qFormat/>
    <w:rsid w:val="00F058F1"/>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F058F1"/>
    <w:pPr>
      <w:widowControl w:val="0"/>
      <w:autoSpaceDE w:val="0"/>
      <w:autoSpaceDN w:val="0"/>
    </w:pPr>
    <w:rPr>
      <w:rFonts w:ascii="TeXGyreAdventor" w:eastAsia="TeXGyreAdventor" w:hAnsi="TeXGyreAdventor" w:cs="TeXGyreAdventor"/>
      <w:lang w:val="es-ES"/>
    </w:rPr>
  </w:style>
  <w:style w:type="character" w:customStyle="1" w:styleId="TextoindependienteCar">
    <w:name w:val="Texto independiente Car"/>
    <w:basedOn w:val="Fuentedeprrafopredeter"/>
    <w:link w:val="Textoindependiente"/>
    <w:uiPriority w:val="1"/>
    <w:rsid w:val="00F058F1"/>
    <w:rPr>
      <w:rFonts w:ascii="TeXGyreAdventor" w:eastAsia="TeXGyreAdventor" w:hAnsi="TeXGyreAdventor" w:cs="TeXGyreAdventor"/>
      <w:lang w:val="es-ES"/>
    </w:rPr>
  </w:style>
  <w:style w:type="paragraph" w:customStyle="1" w:styleId="TableParagraph">
    <w:name w:val="Table Paragraph"/>
    <w:basedOn w:val="Normal"/>
    <w:uiPriority w:val="1"/>
    <w:qFormat/>
    <w:rsid w:val="00F058F1"/>
    <w:pPr>
      <w:widowControl w:val="0"/>
      <w:autoSpaceDE w:val="0"/>
      <w:autoSpaceDN w:val="0"/>
    </w:pPr>
    <w:rPr>
      <w:rFonts w:ascii="TeXGyreAdventor" w:eastAsia="TeXGyreAdventor" w:hAnsi="TeXGyreAdventor" w:cs="TeXGyreAdventor"/>
      <w:sz w:val="22"/>
      <w:szCs w:val="22"/>
      <w:lang w:val="es-ES"/>
    </w:rPr>
  </w:style>
  <w:style w:type="paragraph" w:styleId="Encabezado">
    <w:name w:val="header"/>
    <w:basedOn w:val="Normal"/>
    <w:link w:val="EncabezadoCar"/>
    <w:uiPriority w:val="99"/>
    <w:unhideWhenUsed/>
    <w:rsid w:val="00F058F1"/>
    <w:pPr>
      <w:tabs>
        <w:tab w:val="center" w:pos="4419"/>
        <w:tab w:val="right" w:pos="8838"/>
      </w:tabs>
    </w:pPr>
  </w:style>
  <w:style w:type="character" w:customStyle="1" w:styleId="EncabezadoCar">
    <w:name w:val="Encabezado Car"/>
    <w:basedOn w:val="Fuentedeprrafopredeter"/>
    <w:link w:val="Encabezado"/>
    <w:uiPriority w:val="99"/>
    <w:rsid w:val="00F058F1"/>
  </w:style>
  <w:style w:type="paragraph" w:styleId="Piedepgina">
    <w:name w:val="footer"/>
    <w:basedOn w:val="Normal"/>
    <w:link w:val="PiedepginaCar"/>
    <w:uiPriority w:val="99"/>
    <w:unhideWhenUsed/>
    <w:rsid w:val="00F058F1"/>
    <w:pPr>
      <w:tabs>
        <w:tab w:val="center" w:pos="4419"/>
        <w:tab w:val="right" w:pos="8838"/>
      </w:tabs>
    </w:pPr>
  </w:style>
  <w:style w:type="character" w:customStyle="1" w:styleId="PiedepginaCar">
    <w:name w:val="Pie de página Car"/>
    <w:basedOn w:val="Fuentedeprrafopredeter"/>
    <w:link w:val="Piedepgina"/>
    <w:uiPriority w:val="99"/>
    <w:rsid w:val="00F05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490899">
      <w:bodyDiv w:val="1"/>
      <w:marLeft w:val="0"/>
      <w:marRight w:val="0"/>
      <w:marTop w:val="0"/>
      <w:marBottom w:val="0"/>
      <w:divBdr>
        <w:top w:val="none" w:sz="0" w:space="0" w:color="auto"/>
        <w:left w:val="none" w:sz="0" w:space="0" w:color="auto"/>
        <w:bottom w:val="none" w:sz="0" w:space="0" w:color="auto"/>
        <w:right w:val="none" w:sz="0" w:space="0" w:color="auto"/>
      </w:divBdr>
    </w:div>
    <w:div w:id="441724928">
      <w:bodyDiv w:val="1"/>
      <w:marLeft w:val="0"/>
      <w:marRight w:val="0"/>
      <w:marTop w:val="0"/>
      <w:marBottom w:val="0"/>
      <w:divBdr>
        <w:top w:val="none" w:sz="0" w:space="0" w:color="auto"/>
        <w:left w:val="none" w:sz="0" w:space="0" w:color="auto"/>
        <w:bottom w:val="none" w:sz="0" w:space="0" w:color="auto"/>
        <w:right w:val="none" w:sz="0" w:space="0" w:color="auto"/>
      </w:divBdr>
    </w:div>
    <w:div w:id="532033166">
      <w:bodyDiv w:val="1"/>
      <w:marLeft w:val="0"/>
      <w:marRight w:val="0"/>
      <w:marTop w:val="0"/>
      <w:marBottom w:val="0"/>
      <w:divBdr>
        <w:top w:val="none" w:sz="0" w:space="0" w:color="auto"/>
        <w:left w:val="none" w:sz="0" w:space="0" w:color="auto"/>
        <w:bottom w:val="none" w:sz="0" w:space="0" w:color="auto"/>
        <w:right w:val="none" w:sz="0" w:space="0" w:color="auto"/>
      </w:divBdr>
      <w:divsChild>
        <w:div w:id="2013992869">
          <w:marLeft w:val="0"/>
          <w:marRight w:val="0"/>
          <w:marTop w:val="0"/>
          <w:marBottom w:val="0"/>
          <w:divBdr>
            <w:top w:val="none" w:sz="0" w:space="0" w:color="auto"/>
            <w:left w:val="none" w:sz="0" w:space="0" w:color="auto"/>
            <w:bottom w:val="none" w:sz="0" w:space="0" w:color="auto"/>
            <w:right w:val="none" w:sz="0" w:space="0" w:color="auto"/>
          </w:divBdr>
          <w:divsChild>
            <w:div w:id="1777478712">
              <w:marLeft w:val="0"/>
              <w:marRight w:val="0"/>
              <w:marTop w:val="0"/>
              <w:marBottom w:val="0"/>
              <w:divBdr>
                <w:top w:val="none" w:sz="0" w:space="0" w:color="auto"/>
                <w:left w:val="none" w:sz="0" w:space="0" w:color="auto"/>
                <w:bottom w:val="none" w:sz="0" w:space="0" w:color="auto"/>
                <w:right w:val="none" w:sz="0" w:space="0" w:color="auto"/>
              </w:divBdr>
              <w:divsChild>
                <w:div w:id="102551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966314">
      <w:bodyDiv w:val="1"/>
      <w:marLeft w:val="0"/>
      <w:marRight w:val="0"/>
      <w:marTop w:val="0"/>
      <w:marBottom w:val="0"/>
      <w:divBdr>
        <w:top w:val="none" w:sz="0" w:space="0" w:color="auto"/>
        <w:left w:val="none" w:sz="0" w:space="0" w:color="auto"/>
        <w:bottom w:val="none" w:sz="0" w:space="0" w:color="auto"/>
        <w:right w:val="none" w:sz="0" w:space="0" w:color="auto"/>
      </w:divBdr>
    </w:div>
    <w:div w:id="909578652">
      <w:bodyDiv w:val="1"/>
      <w:marLeft w:val="0"/>
      <w:marRight w:val="0"/>
      <w:marTop w:val="0"/>
      <w:marBottom w:val="0"/>
      <w:divBdr>
        <w:top w:val="none" w:sz="0" w:space="0" w:color="auto"/>
        <w:left w:val="none" w:sz="0" w:space="0" w:color="auto"/>
        <w:bottom w:val="none" w:sz="0" w:space="0" w:color="auto"/>
        <w:right w:val="none" w:sz="0" w:space="0" w:color="auto"/>
      </w:divBdr>
      <w:divsChild>
        <w:div w:id="2096240816">
          <w:marLeft w:val="0"/>
          <w:marRight w:val="0"/>
          <w:marTop w:val="0"/>
          <w:marBottom w:val="0"/>
          <w:divBdr>
            <w:top w:val="none" w:sz="0" w:space="0" w:color="auto"/>
            <w:left w:val="none" w:sz="0" w:space="0" w:color="auto"/>
            <w:bottom w:val="none" w:sz="0" w:space="0" w:color="auto"/>
            <w:right w:val="none" w:sz="0" w:space="0" w:color="auto"/>
          </w:divBdr>
          <w:divsChild>
            <w:div w:id="1299649193">
              <w:marLeft w:val="0"/>
              <w:marRight w:val="0"/>
              <w:marTop w:val="0"/>
              <w:marBottom w:val="0"/>
              <w:divBdr>
                <w:top w:val="none" w:sz="0" w:space="0" w:color="auto"/>
                <w:left w:val="none" w:sz="0" w:space="0" w:color="auto"/>
                <w:bottom w:val="none" w:sz="0" w:space="0" w:color="auto"/>
                <w:right w:val="none" w:sz="0" w:space="0" w:color="auto"/>
              </w:divBdr>
              <w:divsChild>
                <w:div w:id="14487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64135">
      <w:bodyDiv w:val="1"/>
      <w:marLeft w:val="0"/>
      <w:marRight w:val="0"/>
      <w:marTop w:val="0"/>
      <w:marBottom w:val="0"/>
      <w:divBdr>
        <w:top w:val="none" w:sz="0" w:space="0" w:color="auto"/>
        <w:left w:val="none" w:sz="0" w:space="0" w:color="auto"/>
        <w:bottom w:val="none" w:sz="0" w:space="0" w:color="auto"/>
        <w:right w:val="none" w:sz="0" w:space="0" w:color="auto"/>
      </w:divBdr>
      <w:divsChild>
        <w:div w:id="321859229">
          <w:marLeft w:val="0"/>
          <w:marRight w:val="0"/>
          <w:marTop w:val="0"/>
          <w:marBottom w:val="0"/>
          <w:divBdr>
            <w:top w:val="none" w:sz="0" w:space="0" w:color="auto"/>
            <w:left w:val="none" w:sz="0" w:space="0" w:color="auto"/>
            <w:bottom w:val="none" w:sz="0" w:space="0" w:color="auto"/>
            <w:right w:val="none" w:sz="0" w:space="0" w:color="auto"/>
          </w:divBdr>
          <w:divsChild>
            <w:div w:id="1839533815">
              <w:marLeft w:val="0"/>
              <w:marRight w:val="0"/>
              <w:marTop w:val="0"/>
              <w:marBottom w:val="0"/>
              <w:divBdr>
                <w:top w:val="none" w:sz="0" w:space="0" w:color="auto"/>
                <w:left w:val="none" w:sz="0" w:space="0" w:color="auto"/>
                <w:bottom w:val="none" w:sz="0" w:space="0" w:color="auto"/>
                <w:right w:val="none" w:sz="0" w:space="0" w:color="auto"/>
              </w:divBdr>
              <w:divsChild>
                <w:div w:id="133275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733293">
      <w:bodyDiv w:val="1"/>
      <w:marLeft w:val="0"/>
      <w:marRight w:val="0"/>
      <w:marTop w:val="0"/>
      <w:marBottom w:val="0"/>
      <w:divBdr>
        <w:top w:val="none" w:sz="0" w:space="0" w:color="auto"/>
        <w:left w:val="none" w:sz="0" w:space="0" w:color="auto"/>
        <w:bottom w:val="none" w:sz="0" w:space="0" w:color="auto"/>
        <w:right w:val="none" w:sz="0" w:space="0" w:color="auto"/>
      </w:divBdr>
    </w:div>
    <w:div w:id="1229683568">
      <w:bodyDiv w:val="1"/>
      <w:marLeft w:val="0"/>
      <w:marRight w:val="0"/>
      <w:marTop w:val="0"/>
      <w:marBottom w:val="0"/>
      <w:divBdr>
        <w:top w:val="none" w:sz="0" w:space="0" w:color="auto"/>
        <w:left w:val="none" w:sz="0" w:space="0" w:color="auto"/>
        <w:bottom w:val="none" w:sz="0" w:space="0" w:color="auto"/>
        <w:right w:val="none" w:sz="0" w:space="0" w:color="auto"/>
      </w:divBdr>
    </w:div>
    <w:div w:id="1308315679">
      <w:bodyDiv w:val="1"/>
      <w:marLeft w:val="0"/>
      <w:marRight w:val="0"/>
      <w:marTop w:val="0"/>
      <w:marBottom w:val="0"/>
      <w:divBdr>
        <w:top w:val="none" w:sz="0" w:space="0" w:color="auto"/>
        <w:left w:val="none" w:sz="0" w:space="0" w:color="auto"/>
        <w:bottom w:val="none" w:sz="0" w:space="0" w:color="auto"/>
        <w:right w:val="none" w:sz="0" w:space="0" w:color="auto"/>
      </w:divBdr>
    </w:div>
    <w:div w:id="1465392147">
      <w:bodyDiv w:val="1"/>
      <w:marLeft w:val="0"/>
      <w:marRight w:val="0"/>
      <w:marTop w:val="0"/>
      <w:marBottom w:val="0"/>
      <w:divBdr>
        <w:top w:val="none" w:sz="0" w:space="0" w:color="auto"/>
        <w:left w:val="none" w:sz="0" w:space="0" w:color="auto"/>
        <w:bottom w:val="none" w:sz="0" w:space="0" w:color="auto"/>
        <w:right w:val="none" w:sz="0" w:space="0" w:color="auto"/>
      </w:divBdr>
    </w:div>
    <w:div w:id="201290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1245</Words>
  <Characters>6853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Berenys Sanchez Loya</dc:creator>
  <cp:keywords/>
  <dc:description/>
  <cp:lastModifiedBy>Usuario de Windows</cp:lastModifiedBy>
  <cp:revision>2</cp:revision>
  <dcterms:created xsi:type="dcterms:W3CDTF">2020-12-31T01:11:00Z</dcterms:created>
  <dcterms:modified xsi:type="dcterms:W3CDTF">2020-12-31T01:11:00Z</dcterms:modified>
</cp:coreProperties>
</file>