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8D5C626"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w:t>
      </w:r>
      <w:r w:rsidR="000E2574">
        <w:rPr>
          <w:rFonts w:ascii="Century Gothic" w:eastAsia="Arial" w:hAnsi="Century Gothic" w:cs="Arial"/>
          <w:color w:val="auto"/>
          <w:szCs w:val="24"/>
          <w:lang w:val="es-MX"/>
        </w:rPr>
        <w:t>Igualdad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C24DBE" w:rsidRDefault="00445EC3" w:rsidP="009F3B35">
      <w:pPr>
        <w:pStyle w:val="Normal1"/>
        <w:spacing w:line="360" w:lineRule="auto"/>
        <w:contextualSpacing/>
        <w:jc w:val="center"/>
        <w:rPr>
          <w:rFonts w:ascii="Century Gothic" w:eastAsia="Arial" w:hAnsi="Century Gothic" w:cs="Arial"/>
          <w:b/>
          <w:color w:val="auto"/>
          <w:spacing w:val="20"/>
          <w:szCs w:val="24"/>
          <w:lang w:val="es-MX"/>
        </w:rPr>
      </w:pPr>
      <w:r w:rsidRPr="00C24DBE">
        <w:rPr>
          <w:rFonts w:ascii="Century Gothic" w:eastAsia="Arial" w:hAnsi="Century Gothic" w:cs="Arial"/>
          <w:b/>
          <w:color w:val="auto"/>
          <w:spacing w:val="20"/>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6030B79A"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CB7D95">
        <w:rPr>
          <w:rFonts w:ascii="Century Gothic" w:eastAsia="Arial" w:hAnsi="Century Gothic" w:cs="Arial"/>
          <w:color w:val="auto"/>
          <w:szCs w:val="24"/>
          <w:lang w:val="es-MX"/>
        </w:rPr>
        <w:t>0</w:t>
      </w:r>
      <w:r w:rsidR="00876D49">
        <w:rPr>
          <w:rFonts w:ascii="Century Gothic" w:eastAsia="Arial" w:hAnsi="Century Gothic" w:cs="Arial"/>
          <w:color w:val="auto"/>
          <w:szCs w:val="24"/>
          <w:lang w:val="es-MX"/>
        </w:rPr>
        <w:t>4</w:t>
      </w:r>
      <w:r w:rsidR="00513A9D">
        <w:rPr>
          <w:rFonts w:ascii="Century Gothic" w:eastAsia="Arial" w:hAnsi="Century Gothic" w:cs="Arial"/>
          <w:color w:val="auto"/>
          <w:szCs w:val="24"/>
          <w:lang w:val="es-MX"/>
        </w:rPr>
        <w:t xml:space="preserve"> de </w:t>
      </w:r>
      <w:r w:rsidR="00876D49">
        <w:rPr>
          <w:rFonts w:ascii="Century Gothic" w:eastAsia="Arial" w:hAnsi="Century Gothic" w:cs="Arial"/>
          <w:color w:val="auto"/>
          <w:szCs w:val="24"/>
          <w:lang w:val="es-MX"/>
        </w:rPr>
        <w:t>abril</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202</w:t>
      </w:r>
      <w:r w:rsidR="00CB7D95">
        <w:rPr>
          <w:rFonts w:ascii="Century Gothic" w:eastAsia="Arial" w:hAnsi="Century Gothic" w:cs="Arial"/>
          <w:color w:val="auto"/>
          <w:szCs w:val="24"/>
          <w:lang w:val="es-MX"/>
        </w:rPr>
        <w:t>4</w:t>
      </w:r>
      <w:r w:rsidRPr="00414B59">
        <w:rPr>
          <w:rFonts w:ascii="Century Gothic" w:eastAsia="Arial" w:hAnsi="Century Gothic" w:cs="Arial"/>
          <w:color w:val="auto"/>
          <w:szCs w:val="24"/>
          <w:lang w:val="es-MX"/>
        </w:rPr>
        <w:t xml:space="preserve">, </w:t>
      </w:r>
      <w:r w:rsidR="00876D49">
        <w:rPr>
          <w:rFonts w:ascii="Century Gothic" w:eastAsia="Arial" w:hAnsi="Century Gothic" w:cs="Arial"/>
          <w:color w:val="auto"/>
          <w:szCs w:val="24"/>
          <w:lang w:val="es-MX"/>
        </w:rPr>
        <w:t>el</w:t>
      </w:r>
      <w:r w:rsidR="000E2574">
        <w:rPr>
          <w:rFonts w:ascii="Century Gothic" w:eastAsia="Arial" w:hAnsi="Century Gothic" w:cs="Arial"/>
          <w:color w:val="auto"/>
          <w:szCs w:val="24"/>
          <w:lang w:val="es-MX"/>
        </w:rPr>
        <w:t xml:space="preserve"> </w:t>
      </w:r>
      <w:r w:rsidR="00CB7D95">
        <w:rPr>
          <w:rFonts w:ascii="Century Gothic" w:eastAsia="Arial" w:hAnsi="Century Gothic" w:cs="Arial"/>
          <w:color w:val="auto"/>
          <w:szCs w:val="24"/>
          <w:lang w:val="es-MX"/>
        </w:rPr>
        <w:t>Diputado</w:t>
      </w:r>
      <w:r w:rsidR="00876D49">
        <w:rPr>
          <w:rFonts w:ascii="Century Gothic" w:eastAsia="Arial" w:hAnsi="Century Gothic" w:cs="Arial"/>
          <w:color w:val="auto"/>
          <w:szCs w:val="24"/>
          <w:lang w:val="es-MX"/>
        </w:rPr>
        <w:t xml:space="preserve"> Omar Bazán Flores</w:t>
      </w:r>
      <w:r w:rsidR="0048443E">
        <w:rPr>
          <w:rFonts w:ascii="Century Gothic" w:eastAsia="Arial" w:hAnsi="Century Gothic" w:cs="Arial"/>
          <w:color w:val="auto"/>
          <w:szCs w:val="24"/>
          <w:lang w:val="es-MX"/>
        </w:rPr>
        <w:t>,</w:t>
      </w:r>
      <w:r w:rsidR="000E2574">
        <w:rPr>
          <w:rFonts w:ascii="Century Gothic" w:eastAsia="Arial" w:hAnsi="Century Gothic" w:cs="Arial"/>
          <w:color w:val="auto"/>
          <w:szCs w:val="24"/>
          <w:lang w:val="es-MX"/>
        </w:rPr>
        <w:t xml:space="preserve"> </w:t>
      </w:r>
      <w:r w:rsidR="00D67A58">
        <w:rPr>
          <w:rFonts w:ascii="Century Gothic" w:eastAsia="Arial" w:hAnsi="Century Gothic" w:cs="Arial"/>
          <w:color w:val="auto"/>
          <w:szCs w:val="24"/>
          <w:lang w:val="es-MX"/>
        </w:rPr>
        <w:t>integrante</w:t>
      </w:r>
      <w:r w:rsidR="00E308AF">
        <w:rPr>
          <w:rFonts w:ascii="Century Gothic" w:eastAsia="Arial" w:hAnsi="Century Gothic" w:cs="Arial"/>
          <w:color w:val="auto"/>
          <w:szCs w:val="24"/>
          <w:lang w:val="es-MX"/>
        </w:rPr>
        <w:t xml:space="preserve"> del Grupo Parlamentario del Partido</w:t>
      </w:r>
      <w:r w:rsidR="00CB7D95">
        <w:rPr>
          <w:rFonts w:ascii="Century Gothic" w:eastAsia="Arial" w:hAnsi="Century Gothic" w:cs="Arial"/>
          <w:color w:val="auto"/>
          <w:szCs w:val="24"/>
          <w:lang w:val="es-MX"/>
        </w:rPr>
        <w:t xml:space="preserve"> </w:t>
      </w:r>
      <w:r w:rsidR="00876D49">
        <w:rPr>
          <w:rFonts w:ascii="Century Gothic" w:eastAsia="Arial" w:hAnsi="Century Gothic" w:cs="Arial"/>
          <w:color w:val="auto"/>
          <w:szCs w:val="24"/>
          <w:lang w:val="es-MX"/>
        </w:rPr>
        <w:t>Revolucionario Institucional</w:t>
      </w:r>
      <w:r w:rsidR="0048443E">
        <w:rPr>
          <w:rFonts w:ascii="Century Gothic" w:eastAsia="Arial" w:hAnsi="Century Gothic" w:cs="Arial"/>
          <w:color w:val="auto"/>
          <w:szCs w:val="24"/>
          <w:lang w:val="es-MX"/>
        </w:rPr>
        <w:t>,</w:t>
      </w:r>
      <w:r w:rsidRPr="006C0094">
        <w:rPr>
          <w:rFonts w:ascii="Century Gothic" w:eastAsia="Arial" w:hAnsi="Century Gothic" w:cs="Arial"/>
          <w:color w:val="auto"/>
          <w:szCs w:val="24"/>
          <w:lang w:val="es-MX"/>
        </w:rPr>
        <w:t xml:space="preserve"> present</w:t>
      </w:r>
      <w:r w:rsidR="00876D49">
        <w:rPr>
          <w:rFonts w:ascii="Century Gothic" w:eastAsia="Arial" w:hAnsi="Century Gothic" w:cs="Arial"/>
          <w:color w:val="auto"/>
          <w:szCs w:val="24"/>
          <w:lang w:val="es-MX"/>
        </w:rPr>
        <w:t>ó</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89128C">
        <w:rPr>
          <w:rFonts w:ascii="Century Gothic" w:eastAsia="Arial" w:hAnsi="Century Gothic" w:cs="Arial"/>
          <w:color w:val="auto"/>
          <w:szCs w:val="24"/>
          <w:lang w:val="es-MX"/>
        </w:rPr>
        <w:t xml:space="preserve"> </w:t>
      </w:r>
      <w:r w:rsidR="00876D49" w:rsidRPr="00876D49">
        <w:rPr>
          <w:rFonts w:ascii="Century Gothic" w:eastAsia="Arial" w:hAnsi="Century Gothic" w:cs="Arial"/>
          <w:color w:val="auto"/>
          <w:szCs w:val="24"/>
          <w:lang w:val="es-MX"/>
        </w:rPr>
        <w:t xml:space="preserve">a fin de adicionar una fracción XIV, al artículo 25 de la Ley Estatal del Derecho de las Mujeres a una Vida Libre de Violencia, </w:t>
      </w:r>
      <w:r w:rsidR="001946C9">
        <w:rPr>
          <w:rFonts w:ascii="Century Gothic" w:eastAsia="Arial" w:hAnsi="Century Gothic" w:cs="Arial"/>
          <w:color w:val="auto"/>
          <w:szCs w:val="24"/>
          <w:lang w:val="es-MX"/>
        </w:rPr>
        <w:t xml:space="preserve">para </w:t>
      </w:r>
      <w:r w:rsidR="00876D49" w:rsidRPr="00876D49">
        <w:rPr>
          <w:rFonts w:ascii="Century Gothic" w:eastAsia="Arial" w:hAnsi="Century Gothic" w:cs="Arial"/>
          <w:color w:val="auto"/>
          <w:szCs w:val="24"/>
          <w:lang w:val="es-MX"/>
        </w:rPr>
        <w:t xml:space="preserve">fomentar y facilitar el acceso a las mujeres víctimas de violencia, a programas o créditos accesibles </w:t>
      </w:r>
      <w:r w:rsidR="001946C9">
        <w:rPr>
          <w:rFonts w:ascii="Century Gothic" w:eastAsia="Arial" w:hAnsi="Century Gothic" w:cs="Arial"/>
          <w:color w:val="auto"/>
          <w:szCs w:val="24"/>
          <w:lang w:val="es-MX"/>
        </w:rPr>
        <w:t>de</w:t>
      </w:r>
      <w:r w:rsidR="00876D49" w:rsidRPr="00876D49">
        <w:rPr>
          <w:rFonts w:ascii="Century Gothic" w:eastAsia="Arial" w:hAnsi="Century Gothic" w:cs="Arial"/>
          <w:color w:val="auto"/>
          <w:szCs w:val="24"/>
          <w:lang w:val="es-MX"/>
        </w:rPr>
        <w:t xml:space="preserve"> adquisición o mejoramiento de vivienda.</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36744AB0" w14:textId="157178C5"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1946C9">
        <w:rPr>
          <w:rFonts w:ascii="Century Gothic" w:eastAsia="Arial" w:hAnsi="Century Gothic" w:cs="Arial"/>
          <w:color w:val="auto"/>
          <w:szCs w:val="24"/>
          <w:lang w:val="es-MX"/>
        </w:rPr>
        <w:t>09</w:t>
      </w:r>
      <w:r w:rsidR="00E56955" w:rsidRPr="00E56955">
        <w:rPr>
          <w:rFonts w:ascii="Century Gothic" w:eastAsia="Arial" w:hAnsi="Century Gothic" w:cs="Arial"/>
          <w:color w:val="auto"/>
          <w:szCs w:val="24"/>
          <w:lang w:val="es-MX"/>
        </w:rPr>
        <w:t xml:space="preserve"> de </w:t>
      </w:r>
      <w:r w:rsidR="001946C9">
        <w:rPr>
          <w:rFonts w:ascii="Century Gothic" w:eastAsia="Arial" w:hAnsi="Century Gothic" w:cs="Arial"/>
          <w:color w:val="auto"/>
          <w:szCs w:val="24"/>
          <w:lang w:val="es-MX"/>
        </w:rPr>
        <w:t>abril</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CB7D95">
        <w:rPr>
          <w:rFonts w:ascii="Century Gothic" w:eastAsia="Arial" w:hAnsi="Century Gothic" w:cs="Arial"/>
          <w:color w:val="auto"/>
          <w:szCs w:val="24"/>
          <w:lang w:val="es-MX"/>
        </w:rPr>
        <w:t>4</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w:t>
      </w:r>
      <w:r w:rsidRPr="00414B59">
        <w:rPr>
          <w:rFonts w:ascii="Century Gothic" w:eastAsia="Arial" w:hAnsi="Century Gothic" w:cs="Arial"/>
          <w:color w:val="auto"/>
          <w:szCs w:val="24"/>
          <w:lang w:val="es-MX"/>
        </w:rPr>
        <w:lastRenderedPageBreak/>
        <w:t>integra</w:t>
      </w:r>
      <w:r w:rsidR="000E4E83">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0E2574">
        <w:rPr>
          <w:rFonts w:ascii="Century Gothic" w:eastAsia="Arial" w:hAnsi="Century Gothic" w:cs="Arial"/>
          <w:color w:val="auto"/>
          <w:szCs w:val="24"/>
          <w:lang w:val="es-MX"/>
        </w:rPr>
        <w:t>Igualdad</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266205AD"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3C988F65" w14:textId="77777777" w:rsidR="00824323" w:rsidRPr="00824323" w:rsidRDefault="00A30C36" w:rsidP="00824323">
      <w:pPr>
        <w:tabs>
          <w:tab w:val="left" w:pos="8222"/>
        </w:tabs>
        <w:spacing w:after="0" w:line="240" w:lineRule="auto"/>
        <w:ind w:left="709" w:right="616"/>
        <w:jc w:val="both"/>
        <w:rPr>
          <w:rFonts w:ascii="Century Gothic" w:eastAsia="Arial" w:hAnsi="Century Gothic" w:cs="Arial"/>
          <w:i/>
          <w:sz w:val="24"/>
          <w:szCs w:val="24"/>
        </w:rPr>
      </w:pPr>
      <w:r w:rsidRPr="008176B5">
        <w:rPr>
          <w:rFonts w:ascii="Century Gothic" w:eastAsia="Arial" w:hAnsi="Century Gothic" w:cs="Arial"/>
          <w:i/>
          <w:sz w:val="24"/>
          <w:szCs w:val="24"/>
        </w:rPr>
        <w:t>“</w:t>
      </w:r>
      <w:r w:rsidR="00824323" w:rsidRPr="00824323">
        <w:rPr>
          <w:rFonts w:ascii="Century Gothic" w:eastAsia="Arial" w:hAnsi="Century Gothic" w:cs="Arial"/>
          <w:i/>
          <w:sz w:val="24"/>
          <w:szCs w:val="24"/>
        </w:rPr>
        <w:t>Facilitar el acceso de las mujeres víctimas de violencia a programas o créditos accesibles para la adquisición o mejora de su vivienda es una iniciativa de vital importancia que tiene el potencial de cambiar vidas y brindar un refugio seguro a quienes han experimentado situaciones traumáticas. Esta medida es un paso significativo en la dirección correcta para empoderar a las sobrevivientes de violencia y ayudarlas a reconstruir sus vidas. A continuación, se exploran los beneficios y la importancia de esta iniciativa.</w:t>
      </w:r>
    </w:p>
    <w:p w14:paraId="01C7653F"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43C1EBDC" w14:textId="684A345B"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Una de las primeras y más cruciales etapas para una mujer que ha experimentado violencia es escapar de su entorno dañino. Sin embargo, esto a menudo se ve obstaculizado por barreras financieras, ya que las víctimas pueden carecer de recursos para encontrar un lugar seguro. Al ofrecer programas de vivienda o créditos accesibles, se les brinda la oportunidad de escapar de situaciones abusivas y establecer un hogar independiente, lo que fomenta su autonomía económica y personal.</w:t>
      </w:r>
    </w:p>
    <w:p w14:paraId="33776D1F"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01822C6B" w14:textId="5983E1B9"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La violencia contra las mujeres en México es un problema grave y complejo que abarca diversas formas de abuso, discriminación y agresión dirigidas hacia las mujeres en la sociedad mexicana. A pesar de los esfuerzos significativos para abordar este problema, persisten desafíos importantes.</w:t>
      </w:r>
    </w:p>
    <w:p w14:paraId="6FBA382B"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79EEC202" w14:textId="07A212DC"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lastRenderedPageBreak/>
        <w:t>En 2021, a nivel nacional, del total de mujeres de 15 años y más, 70.1 % han experimentado al menos un incidente de violencia, que puede ser psicológica, económica, patrimonial, física, sexual o discriminación en al menos un ámbito y ejercida por cualquier persona agresora a lo largo de su vida.</w:t>
      </w:r>
    </w:p>
    <w:p w14:paraId="4DBC15FD"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5795CF52" w14:textId="5609B6F1"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La violencia psicológica es la que presenta mayor prevalencia (51.6 %), seguida de la violencia sexual (49.7 %), la violencia física (34.7 %) y la violencia económica, patrimonial y/o discriminación (27.4 %).</w:t>
      </w:r>
    </w:p>
    <w:p w14:paraId="161B7B85"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293F6744" w14:textId="43A46DF7"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Mientras que, de octubre 2021 a octubre 2022, 42.8 % de las de mujeres de 15 años y más experimentaron algún tipo de violencia, la violencia psicológica es la que presenta mayor prevalencia (29.4 %), seguida de la violencia sexual (23.3 %), la violencia económica, patrimonial y/o discriminación (16.2 %) y la violencia física (10.2 %).</w:t>
      </w:r>
    </w:p>
    <w:p w14:paraId="3703BC4B"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00695374" w14:textId="375E482D"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 xml:space="preserve">Partiendo de lo anterior, la Organización de las Naciones Unidas, a través de ONU Hábitat, menciona que el derecho a una vivienda adecuada abarca libertades, las cuales incluyen la protección contra el desalojo forzoso y la destrucción y demolición arbitrarias del hogar; el derecho de ser libre de injerencias arbitrarias en el hogar, la privacidad y la familia; el derecho de elegir la residencia y determinar dónde vivir; y el derecho a la libertad de circulación. </w:t>
      </w:r>
    </w:p>
    <w:p w14:paraId="3A2C603F"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63B34202" w14:textId="255B49D6"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 xml:space="preserve">Asimismo, dicha Organización hace énfasis en que el derecho a una vivienda adecuada contiene otro tipo de derechos, entre los cuales se pueden encontrar, la seguridad de la tenencia, la restitución de la vivienda, la tierra y el patrimonio; el acceso no discriminatorio y en igualdad de condiciones a una vivienda adecuada; y la participación en la adopción de decisiones vinculadas con la vivienda en el plano nacional y en la comunidad. </w:t>
      </w:r>
    </w:p>
    <w:p w14:paraId="520BC6B2"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6EF841C2" w14:textId="537531FE"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 xml:space="preserve">Aunado a ello, ONU Hábitat ha mencionado que una vivienda adecuada debe brindar más que cuatro paredes y un techo, es decir, debe satisfacer varias condiciones, para que pueda considerarse que constituye “vivienda adecuada”, de tal manera, que debe reunir, como mínimo, los siguientes criterios:  </w:t>
      </w:r>
    </w:p>
    <w:p w14:paraId="3010C4E7"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44FFA171" w14:textId="28D28A4F"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La seguridad de la tenencia: la vivienda no es adecuada si sus ocupantes no cuentan con cierta medida de seguridad de la tenencia, que les garantice protección jurídica contra el desalojo forzoso, el hostigamiento y otras amenazas;</w:t>
      </w:r>
    </w:p>
    <w:p w14:paraId="5F607520"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1DE15088" w14:textId="0E5EA158"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 xml:space="preserve">Disponibilidad de servicios, materiales, instalaciones e infraestructura: la vivienda no es adecuada si sus ocupantes no tienen agua potable, instalaciones sanitarias adecuadas, energía para la cocción, la calefacción y el alumbrado, y conservación de alimentos o eliminación de residuos; </w:t>
      </w:r>
    </w:p>
    <w:p w14:paraId="72AC9A34"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67DB3B22" w14:textId="127A2365"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 xml:space="preserve">Asequibilidad: la vivienda no es adecuada si su costo pone en peligro o dificulta el disfrute de otros derechos humanos, por sus ocupantes; </w:t>
      </w:r>
    </w:p>
    <w:p w14:paraId="61791B9C"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60787D5D" w14:textId="62A4A5CA"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Habitabilidad: la vivienda no es adecuada si no garantiza seguridad física o no proporciona espacio suficiente, así como protección contra el frío, la humedad, el calor, la lluvia, el viento u otros riesgos para la salud y peligros estructurales;</w:t>
      </w:r>
    </w:p>
    <w:p w14:paraId="70323E02"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096E35DA" w14:textId="7E2518B8"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 xml:space="preserve">Accesibilidad: la vivienda no es adecuada si no se toman en consideración las necesidades específicas de los grupos desfavorecidos y marginados; </w:t>
      </w:r>
    </w:p>
    <w:p w14:paraId="54D43C44"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6414903C" w14:textId="5281B39C"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Ubicación: la vivienda no es adecuada si no ofrece acceso a oportunidades de empleo, servicios de salud, escuelas, guarderías y otros servicios e instalaciones sociales, o si está ubicada en zonas contaminadas o peligrosas; y</w:t>
      </w:r>
    </w:p>
    <w:p w14:paraId="6D55BF61"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03EE35CD" w14:textId="6D18D950"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Adecuación cultural: la vivienda no es adecuada si no toma en cuenta y respeta la expresión de la identidad cultural.</w:t>
      </w:r>
    </w:p>
    <w:p w14:paraId="6492B171" w14:textId="77777777"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Partiendo de lo anterior, es evidente que el derecho a la vivienda pretende dar satisfacción a la necesidad que tiene toda persona de tener un lugar adecuado para vivir, por lo que es considerado como un derecho inalienable al individuo, así como también, es concebido como el resguardo del ser humano y de su familia, que actúa como plataforma para su desenvolvimiento e influye en su progreso individual y colectivo.</w:t>
      </w:r>
    </w:p>
    <w:p w14:paraId="31E17BC4"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6AAE3030" w14:textId="0D9BED0B"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El acceso a una vivienda segura es esencial para la recuperación física y emocional de las víctimas de violencia. Un entorno libre de violencia proporciona la estabilidad necesaria para sanar y reconstruir la autoestima. También permite a las víctimas concentrarse en su bienestar y en el de sus hijos, lo que es esencial para superar el trauma.</w:t>
      </w:r>
    </w:p>
    <w:p w14:paraId="20BD0D52"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377B901C" w14:textId="3255CD98"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La vivienda no solo representa un refugio seguro en el presente, sino también una protección a largo plazo contra futuras situaciones de violencia. Al contar con su propia vivienda, las mujeres pueden establecer límites y controlar su entorno, lo que les brinda un mayor nivel de seguridad y previene la reincidencia del abuso.</w:t>
      </w:r>
    </w:p>
    <w:p w14:paraId="27F9C43D"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1A544084" w14:textId="0FB4D91C" w:rsidR="00824323" w:rsidRP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Esta iniciativa también tiene un impacto positivo en los hijos de las víctimas. Al proporcionar un entorno estable y seguro, se crea un ambiente propicio para el desarrollo saludable de los niños. Además, les enseña a ellos sobre la importancia de buscar ayuda y no tolerar la violencia.</w:t>
      </w:r>
    </w:p>
    <w:p w14:paraId="3AC39937" w14:textId="77777777" w:rsidR="00824323" w:rsidRDefault="00824323" w:rsidP="00824323">
      <w:pPr>
        <w:tabs>
          <w:tab w:val="left" w:pos="8222"/>
        </w:tabs>
        <w:spacing w:after="0" w:line="240" w:lineRule="auto"/>
        <w:ind w:left="709" w:right="616"/>
        <w:jc w:val="both"/>
        <w:rPr>
          <w:rFonts w:ascii="Century Gothic" w:eastAsia="Arial" w:hAnsi="Century Gothic" w:cs="Arial"/>
          <w:i/>
          <w:sz w:val="24"/>
          <w:szCs w:val="24"/>
        </w:rPr>
      </w:pPr>
    </w:p>
    <w:p w14:paraId="089DFC5A" w14:textId="457A2974" w:rsidR="00A30C36" w:rsidRPr="008176B5" w:rsidRDefault="00824323" w:rsidP="00824323">
      <w:pPr>
        <w:tabs>
          <w:tab w:val="left" w:pos="8222"/>
        </w:tabs>
        <w:spacing w:after="0" w:line="240" w:lineRule="auto"/>
        <w:ind w:left="709" w:right="616"/>
        <w:jc w:val="both"/>
        <w:rPr>
          <w:rFonts w:ascii="Century Gothic" w:eastAsia="Arial" w:hAnsi="Century Gothic" w:cs="Arial"/>
          <w:i/>
          <w:sz w:val="24"/>
          <w:szCs w:val="24"/>
        </w:rPr>
      </w:pPr>
      <w:r w:rsidRPr="00824323">
        <w:rPr>
          <w:rFonts w:ascii="Century Gothic" w:eastAsia="Arial" w:hAnsi="Century Gothic" w:cs="Arial"/>
          <w:i/>
          <w:sz w:val="24"/>
          <w:szCs w:val="24"/>
        </w:rPr>
        <w:t xml:space="preserve">Facilitar el acceso de las mujeres víctimas de violencia a programas o créditos para la adquisición o mejora de viviendas es un paso fundamental en la lucha contra la violencia de género y la protección de los derechos humanos. Además de </w:t>
      </w:r>
      <w:r w:rsidRPr="00824323">
        <w:rPr>
          <w:rFonts w:ascii="Century Gothic" w:eastAsia="Arial" w:hAnsi="Century Gothic" w:cs="Arial"/>
          <w:i/>
          <w:sz w:val="24"/>
          <w:szCs w:val="24"/>
        </w:rPr>
        <w:lastRenderedPageBreak/>
        <w:t>brindar un refugio seguro, esta iniciativa empodera a las sobrevivientes, fomenta la recuperación y previene futuros episodios de abuso. Es un recordatorio de que la sociedad puede y debe tomar medidas para apoyar a quienes han experimentado violencia y ayudarles a construir una vida libre de miedo y violencia</w:t>
      </w:r>
      <w:r w:rsidR="0089128C" w:rsidRPr="0089128C">
        <w:rPr>
          <w:rFonts w:ascii="Century Gothic" w:eastAsia="Arial" w:hAnsi="Century Gothic" w:cs="Arial"/>
          <w:i/>
          <w:sz w:val="24"/>
          <w:szCs w:val="24"/>
        </w:rPr>
        <w:t>.</w:t>
      </w:r>
      <w:r w:rsidR="00A30C36" w:rsidRPr="008176B5">
        <w:rPr>
          <w:rFonts w:ascii="Century Gothic" w:hAnsi="Century Gothic"/>
          <w:i/>
          <w:sz w:val="24"/>
          <w:szCs w:val="24"/>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40CDE12B" w14:textId="29F71F76"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niciativa en comento, quienes integramos la Comisión de</w:t>
      </w:r>
      <w:r w:rsidR="00F44614">
        <w:rPr>
          <w:rFonts w:ascii="Century Gothic" w:eastAsia="Arial" w:hAnsi="Century Gothic" w:cs="Arial"/>
          <w:color w:val="auto"/>
          <w:szCs w:val="24"/>
          <w:lang w:val="es-MX"/>
        </w:rPr>
        <w:t xml:space="preserve"> </w:t>
      </w:r>
      <w:r w:rsidR="0035757A">
        <w:rPr>
          <w:rFonts w:ascii="Century Gothic" w:eastAsia="Arial" w:hAnsi="Century Gothic" w:cs="Arial"/>
          <w:color w:val="auto"/>
          <w:szCs w:val="24"/>
          <w:lang w:val="es-MX"/>
        </w:rPr>
        <w:t>Igualdad</w:t>
      </w:r>
      <w:r w:rsidRPr="00414B59">
        <w:rPr>
          <w:rFonts w:ascii="Century Gothic" w:eastAsia="Arial" w:hAnsi="Century Gothic" w:cs="Arial"/>
          <w:color w:val="auto"/>
          <w:szCs w:val="24"/>
          <w:lang w:val="es-MX"/>
        </w:rPr>
        <w:t>, formulamos las siguientes:</w:t>
      </w:r>
    </w:p>
    <w:p w14:paraId="3543F727" w14:textId="2EDB1357" w:rsidR="00445EC3" w:rsidRDefault="00445EC3" w:rsidP="00B26A9F">
      <w:pPr>
        <w:pStyle w:val="Normal1"/>
        <w:spacing w:line="360" w:lineRule="auto"/>
        <w:contextualSpacing/>
        <w:jc w:val="both"/>
        <w:rPr>
          <w:rFonts w:ascii="Century Gothic" w:eastAsia="Arial" w:hAnsi="Century Gothic" w:cs="Arial"/>
          <w:color w:val="auto"/>
          <w:szCs w:val="24"/>
          <w:lang w:val="es-MX"/>
        </w:rPr>
      </w:pPr>
    </w:p>
    <w:p w14:paraId="2581C1D4" w14:textId="77777777" w:rsidR="00117D52" w:rsidRPr="00414B59" w:rsidRDefault="00117D52" w:rsidP="00B26A9F">
      <w:pPr>
        <w:pStyle w:val="Normal1"/>
        <w:spacing w:line="360" w:lineRule="auto"/>
        <w:contextualSpacing/>
        <w:jc w:val="both"/>
        <w:rPr>
          <w:rFonts w:ascii="Century Gothic" w:eastAsia="Arial" w:hAnsi="Century Gothic" w:cs="Arial"/>
          <w:color w:val="auto"/>
          <w:szCs w:val="24"/>
          <w:lang w:val="es-MX"/>
        </w:rPr>
      </w:pPr>
    </w:p>
    <w:p w14:paraId="0B6D666B" w14:textId="77777777" w:rsidR="00445EC3" w:rsidRPr="00FB0555" w:rsidRDefault="00445EC3" w:rsidP="00B26A9F">
      <w:pPr>
        <w:pStyle w:val="Normal1"/>
        <w:spacing w:line="360" w:lineRule="auto"/>
        <w:contextualSpacing/>
        <w:jc w:val="center"/>
        <w:rPr>
          <w:rFonts w:ascii="Century Gothic" w:eastAsia="Arial" w:hAnsi="Century Gothic" w:cs="Arial"/>
          <w:b/>
          <w:color w:val="auto"/>
          <w:spacing w:val="20"/>
          <w:szCs w:val="24"/>
          <w:lang w:val="es-MX"/>
        </w:rPr>
      </w:pPr>
      <w:r w:rsidRPr="00FB0555">
        <w:rPr>
          <w:rFonts w:ascii="Century Gothic" w:eastAsia="Arial" w:hAnsi="Century Gothic" w:cs="Arial"/>
          <w:b/>
          <w:color w:val="auto"/>
          <w:spacing w:val="20"/>
          <w:szCs w:val="24"/>
          <w:lang w:val="es-MX"/>
        </w:rPr>
        <w:t>CONSIDERACIONES</w:t>
      </w:r>
    </w:p>
    <w:p w14:paraId="7EFEC2C7" w14:textId="7DF5B7F4" w:rsidR="00445EC3" w:rsidRDefault="00445EC3" w:rsidP="00B26A9F">
      <w:pPr>
        <w:pStyle w:val="Normal1"/>
        <w:spacing w:line="360" w:lineRule="auto"/>
        <w:contextualSpacing/>
        <w:jc w:val="center"/>
        <w:rPr>
          <w:rFonts w:ascii="Century Gothic" w:eastAsia="Arial" w:hAnsi="Century Gothic" w:cs="Arial"/>
          <w:color w:val="auto"/>
          <w:szCs w:val="24"/>
          <w:lang w:val="es-MX"/>
        </w:rPr>
      </w:pPr>
    </w:p>
    <w:p w14:paraId="569F18F4" w14:textId="77777777" w:rsidR="00117D52" w:rsidRPr="00414B59" w:rsidRDefault="00117D52" w:rsidP="00B26A9F">
      <w:pPr>
        <w:pStyle w:val="Normal1"/>
        <w:spacing w:line="360" w:lineRule="auto"/>
        <w:contextualSpacing/>
        <w:jc w:val="center"/>
        <w:rPr>
          <w:rFonts w:ascii="Century Gothic" w:eastAsia="Arial" w:hAnsi="Century Gothic" w:cs="Arial"/>
          <w:color w:val="auto"/>
          <w:szCs w:val="24"/>
          <w:lang w:val="es-MX"/>
        </w:rPr>
      </w:pPr>
    </w:p>
    <w:p w14:paraId="5AE45ADF" w14:textId="6D856BC9" w:rsidR="00445EC3"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A23D2B">
        <w:rPr>
          <w:rFonts w:ascii="Century Gothic" w:eastAsia="Arial" w:hAnsi="Century Gothic" w:cs="Arial"/>
          <w:szCs w:val="24"/>
        </w:rPr>
        <w:t xml:space="preserve">el asunto descrito </w:t>
      </w:r>
      <w:r w:rsidR="00A23D2B" w:rsidRPr="0090301A">
        <w:rPr>
          <w:rFonts w:ascii="Century Gothic" w:eastAsia="Arial" w:hAnsi="Century Gothic" w:cs="Arial"/>
          <w:szCs w:val="24"/>
        </w:rPr>
        <w:t>en el apartado de antecedentes.</w:t>
      </w:r>
    </w:p>
    <w:p w14:paraId="3284E1E6" w14:textId="77777777" w:rsidR="00117D52" w:rsidRPr="00414B59" w:rsidRDefault="00117D52" w:rsidP="00B26A9F">
      <w:pPr>
        <w:pStyle w:val="Normal1"/>
        <w:spacing w:line="360" w:lineRule="auto"/>
        <w:contextualSpacing/>
        <w:jc w:val="both"/>
        <w:rPr>
          <w:rFonts w:ascii="Century Gothic" w:eastAsia="Arial" w:hAnsi="Century Gothic" w:cs="Arial"/>
          <w:color w:val="auto"/>
          <w:szCs w:val="24"/>
          <w:lang w:val="es-MX"/>
        </w:rPr>
      </w:pPr>
    </w:p>
    <w:p w14:paraId="2458BE42" w14:textId="1F8C6235" w:rsidR="003028D2" w:rsidRDefault="00445EC3" w:rsidP="00B14078">
      <w:pPr>
        <w:spacing w:after="0" w:line="360" w:lineRule="auto"/>
        <w:jc w:val="both"/>
        <w:rPr>
          <w:rFonts w:ascii="Century Gothic" w:eastAsia="Arial" w:hAnsi="Century Gothic" w:cs="Arial"/>
          <w:sz w:val="24"/>
          <w:szCs w:val="24"/>
        </w:rPr>
      </w:pPr>
      <w:r w:rsidRPr="00414B59">
        <w:rPr>
          <w:rFonts w:ascii="Century Gothic" w:eastAsia="Arial" w:hAnsi="Century Gothic" w:cs="Arial"/>
          <w:b/>
          <w:szCs w:val="24"/>
        </w:rPr>
        <w:t xml:space="preserve">II.- </w:t>
      </w:r>
      <w:r w:rsidR="008F4BFF" w:rsidRPr="008144FE">
        <w:rPr>
          <w:rFonts w:ascii="Century Gothic" w:eastAsia="Arial" w:hAnsi="Century Gothic" w:cs="Arial"/>
          <w:sz w:val="24"/>
          <w:szCs w:val="24"/>
        </w:rPr>
        <w:t xml:space="preserve">Con la presente </w:t>
      </w:r>
      <w:r w:rsidRPr="008144FE">
        <w:rPr>
          <w:rFonts w:ascii="Century Gothic" w:eastAsia="Arial" w:hAnsi="Century Gothic" w:cs="Arial"/>
          <w:sz w:val="24"/>
          <w:szCs w:val="24"/>
        </w:rPr>
        <w:t>iniciativa</w:t>
      </w:r>
      <w:r w:rsidR="00C12EA6" w:rsidRPr="008144FE">
        <w:rPr>
          <w:rFonts w:ascii="Century Gothic" w:eastAsia="Arial" w:hAnsi="Century Gothic" w:cs="Arial"/>
          <w:sz w:val="24"/>
          <w:szCs w:val="24"/>
        </w:rPr>
        <w:t>,</w:t>
      </w:r>
      <w:r w:rsidRPr="008144FE">
        <w:rPr>
          <w:rFonts w:ascii="Century Gothic" w:eastAsia="Arial" w:hAnsi="Century Gothic" w:cs="Arial"/>
          <w:sz w:val="24"/>
          <w:szCs w:val="24"/>
        </w:rPr>
        <w:t xml:space="preserve"> </w:t>
      </w:r>
      <w:r w:rsidR="004B28AF" w:rsidRPr="008144FE">
        <w:rPr>
          <w:rFonts w:ascii="Century Gothic" w:eastAsia="Arial" w:hAnsi="Century Gothic" w:cs="Arial"/>
          <w:sz w:val="24"/>
          <w:szCs w:val="24"/>
        </w:rPr>
        <w:t xml:space="preserve">se </w:t>
      </w:r>
      <w:r w:rsidR="008637D5" w:rsidRPr="008144FE">
        <w:rPr>
          <w:rFonts w:ascii="Century Gothic" w:eastAsia="Arial" w:hAnsi="Century Gothic" w:cs="Arial"/>
          <w:sz w:val="24"/>
          <w:szCs w:val="24"/>
        </w:rPr>
        <w:t xml:space="preserve">pretende reformar </w:t>
      </w:r>
      <w:r w:rsidR="00D762BB">
        <w:rPr>
          <w:rFonts w:ascii="Century Gothic" w:eastAsia="Arial" w:hAnsi="Century Gothic" w:cs="Arial"/>
          <w:sz w:val="24"/>
          <w:szCs w:val="24"/>
        </w:rPr>
        <w:t>la Ley</w:t>
      </w:r>
      <w:r w:rsidR="009A116B">
        <w:rPr>
          <w:rFonts w:ascii="Century Gothic" w:eastAsia="Arial" w:hAnsi="Century Gothic" w:cs="Arial"/>
          <w:sz w:val="24"/>
          <w:szCs w:val="24"/>
        </w:rPr>
        <w:t xml:space="preserve"> Estatal del Derecho de las Mujeres a una Vida Libre de Violencia</w:t>
      </w:r>
      <w:r w:rsidR="00D74E7B">
        <w:rPr>
          <w:rFonts w:ascii="Century Gothic" w:eastAsia="Arial" w:hAnsi="Century Gothic" w:cs="Arial"/>
          <w:sz w:val="24"/>
          <w:szCs w:val="24"/>
        </w:rPr>
        <w:t xml:space="preserve">, </w:t>
      </w:r>
      <w:r w:rsidR="009A116B">
        <w:rPr>
          <w:rFonts w:ascii="Century Gothic" w:eastAsia="Arial" w:hAnsi="Century Gothic" w:cs="Arial"/>
          <w:sz w:val="24"/>
          <w:szCs w:val="24"/>
        </w:rPr>
        <w:t>c</w:t>
      </w:r>
      <w:r w:rsidR="009A116B" w:rsidRPr="009A116B">
        <w:rPr>
          <w:rFonts w:ascii="Century Gothic" w:eastAsia="Arial" w:hAnsi="Century Gothic" w:cs="Arial"/>
          <w:sz w:val="24"/>
          <w:szCs w:val="24"/>
        </w:rPr>
        <w:t>on la finalidad de fomentar y facilitar el acceso a las mujeres víctimas de violencia, a programas o créditos accesibles para la adquisición o mejoramiento de su vivienda.</w:t>
      </w:r>
    </w:p>
    <w:p w14:paraId="2DAE3186" w14:textId="77777777" w:rsidR="00E0531A" w:rsidRPr="005F24AF" w:rsidRDefault="00E0531A" w:rsidP="000C5D84">
      <w:pPr>
        <w:spacing w:after="0" w:line="360" w:lineRule="auto"/>
        <w:rPr>
          <w:rFonts w:ascii="Century Gothic" w:eastAsia="Arial Unicode MS" w:hAnsi="Century Gothic" w:cs="Arial"/>
          <w:sz w:val="24"/>
          <w:szCs w:val="24"/>
        </w:rPr>
      </w:pPr>
    </w:p>
    <w:p w14:paraId="11543BE3" w14:textId="4AB93366" w:rsidR="009A116B" w:rsidRPr="00420463" w:rsidRDefault="00E0531A" w:rsidP="009A116B">
      <w:pPr>
        <w:pStyle w:val="Normal3"/>
        <w:spacing w:line="360" w:lineRule="auto"/>
        <w:jc w:val="both"/>
        <w:rPr>
          <w:rFonts w:ascii="Century Gothic" w:hAnsi="Century Gothic" w:cs="Calibri"/>
          <w:szCs w:val="24"/>
        </w:rPr>
      </w:pPr>
      <w:r w:rsidRPr="005F24AF">
        <w:rPr>
          <w:rFonts w:ascii="Century Gothic" w:hAnsi="Century Gothic" w:cs="Calibri"/>
          <w:b/>
          <w:szCs w:val="24"/>
        </w:rPr>
        <w:t>III.-</w:t>
      </w:r>
      <w:r w:rsidR="00444EE3" w:rsidRPr="00444EE3">
        <w:t xml:space="preserve"> </w:t>
      </w:r>
      <w:r w:rsidR="00986EE9">
        <w:rPr>
          <w:rFonts w:ascii="Century Gothic" w:eastAsia="Arial" w:hAnsi="Century Gothic" w:cs="Arial"/>
          <w:color w:val="auto"/>
          <w:szCs w:val="24"/>
          <w:lang w:val="es-MX"/>
        </w:rPr>
        <w:t xml:space="preserve">Como antecedente a la propuesta en estudio, es preciso </w:t>
      </w:r>
      <w:r w:rsidR="00CC2518">
        <w:rPr>
          <w:rFonts w:ascii="Century Gothic" w:eastAsia="Arial" w:hAnsi="Century Gothic" w:cs="Arial"/>
          <w:color w:val="auto"/>
          <w:szCs w:val="24"/>
          <w:lang w:val="es-MX"/>
        </w:rPr>
        <w:t xml:space="preserve">atender al </w:t>
      </w:r>
      <w:r w:rsidR="00CC2518" w:rsidRPr="00420463">
        <w:rPr>
          <w:rFonts w:ascii="Century Gothic" w:hAnsi="Century Gothic" w:cs="Calibri"/>
          <w:szCs w:val="24"/>
        </w:rPr>
        <w:t>derecho</w:t>
      </w:r>
      <w:r w:rsidR="009A116B" w:rsidRPr="00420463">
        <w:rPr>
          <w:rFonts w:ascii="Century Gothic" w:hAnsi="Century Gothic" w:cs="Calibri"/>
          <w:szCs w:val="24"/>
        </w:rPr>
        <w:t xml:space="preserve"> a una vivienda digna, e</w:t>
      </w:r>
      <w:r w:rsidR="00CC2518">
        <w:rPr>
          <w:rFonts w:ascii="Century Gothic" w:hAnsi="Century Gothic" w:cs="Calibri"/>
          <w:szCs w:val="24"/>
        </w:rPr>
        <w:t>l cual, es</w:t>
      </w:r>
      <w:r w:rsidR="009A116B" w:rsidRPr="00420463">
        <w:rPr>
          <w:rFonts w:ascii="Century Gothic" w:hAnsi="Century Gothic" w:cs="Calibri"/>
          <w:szCs w:val="24"/>
        </w:rPr>
        <w:t xml:space="preserve"> conceptualizado por la O</w:t>
      </w:r>
      <w:r w:rsidR="009A116B">
        <w:rPr>
          <w:rFonts w:ascii="Century Gothic" w:hAnsi="Century Gothic" w:cs="Calibri"/>
          <w:szCs w:val="24"/>
        </w:rPr>
        <w:t>rganización de las Naciones Unidas (ONU)</w:t>
      </w:r>
      <w:r w:rsidR="009A116B" w:rsidRPr="00420463">
        <w:rPr>
          <w:rFonts w:ascii="Century Gothic" w:hAnsi="Century Gothic" w:cs="Calibri"/>
          <w:szCs w:val="24"/>
        </w:rPr>
        <w:t xml:space="preserve"> como: "</w:t>
      </w:r>
      <w:r w:rsidR="009A116B" w:rsidRPr="00234148">
        <w:rPr>
          <w:rFonts w:ascii="Century Gothic" w:hAnsi="Century Gothic" w:cs="Calibri"/>
          <w:i/>
          <w:iCs/>
          <w:szCs w:val="24"/>
        </w:rPr>
        <w:t xml:space="preserve">el derecho de todo </w:t>
      </w:r>
      <w:r w:rsidR="009A116B" w:rsidRPr="00234148">
        <w:rPr>
          <w:rFonts w:ascii="Century Gothic" w:hAnsi="Century Gothic" w:cs="Calibri"/>
          <w:i/>
          <w:iCs/>
          <w:szCs w:val="24"/>
        </w:rPr>
        <w:lastRenderedPageBreak/>
        <w:t>hombre, mujer, joven y niño a acceder y mantener un hogar y una comunidad seguros en que puedan vivir en paz y con dignidad</w:t>
      </w:r>
      <w:r w:rsidR="009A116B">
        <w:rPr>
          <w:rFonts w:ascii="Century Gothic" w:hAnsi="Century Gothic" w:cs="Calibri"/>
          <w:szCs w:val="24"/>
        </w:rPr>
        <w:t>.</w:t>
      </w:r>
      <w:r w:rsidR="009A116B" w:rsidRPr="00420463">
        <w:rPr>
          <w:rFonts w:ascii="Century Gothic" w:hAnsi="Century Gothic" w:cs="Calibri"/>
          <w:szCs w:val="24"/>
        </w:rPr>
        <w:t>"</w:t>
      </w:r>
    </w:p>
    <w:p w14:paraId="678A1B66" w14:textId="77777777" w:rsidR="009A116B" w:rsidRDefault="009A116B" w:rsidP="009A116B">
      <w:pPr>
        <w:spacing w:after="0" w:line="360" w:lineRule="auto"/>
        <w:jc w:val="both"/>
        <w:rPr>
          <w:rFonts w:ascii="Century Gothic" w:hAnsi="Century Gothic" w:cs="Calibri"/>
          <w:sz w:val="24"/>
          <w:szCs w:val="24"/>
        </w:rPr>
      </w:pPr>
    </w:p>
    <w:p w14:paraId="384A1124" w14:textId="24BDBEEA" w:rsidR="009A116B" w:rsidRDefault="009A116B" w:rsidP="00234148">
      <w:pPr>
        <w:spacing w:after="0" w:line="360" w:lineRule="auto"/>
        <w:jc w:val="both"/>
        <w:rPr>
          <w:rFonts w:ascii="Century Gothic" w:hAnsi="Century Gothic" w:cs="Calibri"/>
          <w:sz w:val="24"/>
          <w:szCs w:val="24"/>
        </w:rPr>
      </w:pPr>
      <w:r>
        <w:rPr>
          <w:rFonts w:ascii="Century Gothic" w:hAnsi="Century Gothic" w:cs="Calibri"/>
          <w:sz w:val="24"/>
          <w:szCs w:val="24"/>
        </w:rPr>
        <w:t xml:space="preserve">Dicho </w:t>
      </w:r>
      <w:r w:rsidRPr="00460CF2">
        <w:rPr>
          <w:rFonts w:ascii="Century Gothic" w:hAnsi="Century Gothic" w:cs="Calibri"/>
          <w:sz w:val="24"/>
          <w:szCs w:val="24"/>
        </w:rPr>
        <w:t xml:space="preserve">derecho fue reconocido como parte del derecho a un nivel de vida adecuado en el artículo 25 de la </w:t>
      </w:r>
      <w:r w:rsidRPr="00234148">
        <w:rPr>
          <w:rFonts w:ascii="Century Gothic" w:hAnsi="Century Gothic" w:cs="Calibri"/>
          <w:b/>
          <w:bCs/>
          <w:sz w:val="24"/>
          <w:szCs w:val="24"/>
        </w:rPr>
        <w:t>Declaración Universal de Derechos Humanos</w:t>
      </w:r>
      <w:r w:rsidR="00234148">
        <w:rPr>
          <w:rFonts w:ascii="Century Gothic" w:hAnsi="Century Gothic" w:cs="Calibri"/>
          <w:sz w:val="24"/>
          <w:szCs w:val="24"/>
        </w:rPr>
        <w:t>;</w:t>
      </w:r>
      <w:r w:rsidR="00234148">
        <w:rPr>
          <w:rStyle w:val="Refdenotaalpie"/>
          <w:rFonts w:ascii="Century Gothic" w:hAnsi="Century Gothic" w:cs="Calibri"/>
          <w:sz w:val="24"/>
          <w:szCs w:val="24"/>
        </w:rPr>
        <w:footnoteReference w:id="1"/>
      </w:r>
      <w:r w:rsidR="00234148">
        <w:rPr>
          <w:rFonts w:ascii="Century Gothic" w:hAnsi="Century Gothic" w:cs="Calibri"/>
          <w:sz w:val="24"/>
          <w:szCs w:val="24"/>
        </w:rPr>
        <w:t xml:space="preserve"> </w:t>
      </w:r>
      <w:r w:rsidRPr="00460CF2">
        <w:rPr>
          <w:rFonts w:ascii="Century Gothic" w:hAnsi="Century Gothic" w:cs="Calibri"/>
          <w:sz w:val="24"/>
          <w:szCs w:val="24"/>
        </w:rPr>
        <w:t xml:space="preserve">11 del </w:t>
      </w:r>
      <w:r w:rsidRPr="00234148">
        <w:rPr>
          <w:rFonts w:ascii="Century Gothic" w:hAnsi="Century Gothic" w:cs="Calibri"/>
          <w:b/>
          <w:bCs/>
          <w:sz w:val="24"/>
          <w:szCs w:val="24"/>
        </w:rPr>
        <w:t>Pacto Internacional de Derechos Económicos, Sociales y Culturales</w:t>
      </w:r>
      <w:r w:rsidR="00234148">
        <w:rPr>
          <w:rFonts w:ascii="Century Gothic" w:hAnsi="Century Gothic" w:cs="Calibri"/>
          <w:sz w:val="24"/>
          <w:szCs w:val="24"/>
        </w:rPr>
        <w:t>;</w:t>
      </w:r>
      <w:r w:rsidR="00B00E3A">
        <w:rPr>
          <w:rStyle w:val="Refdenotaalpie"/>
          <w:rFonts w:ascii="Century Gothic" w:hAnsi="Century Gothic" w:cs="Calibri"/>
          <w:sz w:val="24"/>
          <w:szCs w:val="24"/>
        </w:rPr>
        <w:footnoteReference w:id="2"/>
      </w:r>
      <w:r w:rsidRPr="00460CF2">
        <w:rPr>
          <w:rFonts w:ascii="Century Gothic" w:hAnsi="Century Gothic" w:cs="Calibri"/>
          <w:sz w:val="24"/>
          <w:szCs w:val="24"/>
        </w:rPr>
        <w:t xml:space="preserve"> </w:t>
      </w:r>
      <w:r w:rsidR="00234148" w:rsidRPr="00234148">
        <w:rPr>
          <w:rFonts w:ascii="Century Gothic" w:hAnsi="Century Gothic" w:cs="Calibri"/>
          <w:sz w:val="24"/>
          <w:szCs w:val="24"/>
        </w:rPr>
        <w:t xml:space="preserve">11 de la </w:t>
      </w:r>
      <w:r w:rsidR="00234148" w:rsidRPr="00234148">
        <w:rPr>
          <w:rFonts w:ascii="Century Gothic" w:hAnsi="Century Gothic" w:cs="Calibri"/>
          <w:b/>
          <w:bCs/>
          <w:sz w:val="24"/>
          <w:szCs w:val="24"/>
        </w:rPr>
        <w:t>Declaración Americana de los Derechos y Deberes del Hombre</w:t>
      </w:r>
      <w:r w:rsidR="00234148" w:rsidRPr="00234148">
        <w:rPr>
          <w:rFonts w:ascii="Century Gothic" w:hAnsi="Century Gothic" w:cs="Calibri"/>
          <w:sz w:val="24"/>
          <w:szCs w:val="24"/>
        </w:rPr>
        <w:t>;</w:t>
      </w:r>
      <w:r w:rsidR="00B00E3A">
        <w:rPr>
          <w:rStyle w:val="Refdenotaalpie"/>
          <w:rFonts w:ascii="Century Gothic" w:hAnsi="Century Gothic" w:cs="Calibri"/>
          <w:sz w:val="24"/>
          <w:szCs w:val="24"/>
        </w:rPr>
        <w:footnoteReference w:id="3"/>
      </w:r>
      <w:r w:rsidR="00234148" w:rsidRPr="00234148">
        <w:rPr>
          <w:rFonts w:ascii="Century Gothic" w:hAnsi="Century Gothic" w:cs="Calibri"/>
          <w:sz w:val="24"/>
          <w:szCs w:val="24"/>
        </w:rPr>
        <w:t xml:space="preserve"> 12 de la </w:t>
      </w:r>
      <w:r w:rsidR="00234148" w:rsidRPr="00234148">
        <w:rPr>
          <w:rFonts w:ascii="Century Gothic" w:hAnsi="Century Gothic" w:cs="Calibri"/>
          <w:b/>
          <w:bCs/>
          <w:sz w:val="24"/>
          <w:szCs w:val="24"/>
        </w:rPr>
        <w:t>Convención Interamericana sobre la Protección de los Derechos Humanos de las Personas Mayores</w:t>
      </w:r>
      <w:r w:rsidR="00234148" w:rsidRPr="00234148">
        <w:rPr>
          <w:rFonts w:ascii="Century Gothic" w:hAnsi="Century Gothic" w:cs="Calibri"/>
          <w:sz w:val="24"/>
          <w:szCs w:val="24"/>
        </w:rPr>
        <w:t>;</w:t>
      </w:r>
      <w:r w:rsidR="00B00E3A">
        <w:rPr>
          <w:rStyle w:val="Refdenotaalpie"/>
          <w:rFonts w:ascii="Century Gothic" w:hAnsi="Century Gothic" w:cs="Calibri"/>
          <w:sz w:val="24"/>
          <w:szCs w:val="24"/>
        </w:rPr>
        <w:footnoteReference w:id="4"/>
      </w:r>
      <w:r w:rsidR="00234148" w:rsidRPr="00234148">
        <w:rPr>
          <w:rFonts w:ascii="Century Gothic" w:hAnsi="Century Gothic" w:cs="Calibri"/>
          <w:sz w:val="24"/>
          <w:szCs w:val="24"/>
        </w:rPr>
        <w:t xml:space="preserve"> 7 de la </w:t>
      </w:r>
      <w:r w:rsidR="00234148" w:rsidRPr="00234148">
        <w:rPr>
          <w:rFonts w:ascii="Century Gothic" w:hAnsi="Century Gothic" w:cs="Calibri"/>
          <w:b/>
          <w:bCs/>
          <w:sz w:val="24"/>
          <w:szCs w:val="24"/>
        </w:rPr>
        <w:t>Convención Interamericana contra toda Forma de Discriminación e Intolerancia</w:t>
      </w:r>
      <w:r w:rsidR="00234148">
        <w:rPr>
          <w:rFonts w:ascii="Century Gothic" w:hAnsi="Century Gothic" w:cs="Calibri"/>
          <w:sz w:val="24"/>
          <w:szCs w:val="24"/>
        </w:rPr>
        <w:t>;</w:t>
      </w:r>
      <w:r w:rsidR="00B00E3A">
        <w:rPr>
          <w:rStyle w:val="Refdenotaalpie"/>
          <w:rFonts w:ascii="Century Gothic" w:hAnsi="Century Gothic" w:cs="Calibri"/>
          <w:sz w:val="24"/>
          <w:szCs w:val="24"/>
        </w:rPr>
        <w:footnoteReference w:id="5"/>
      </w:r>
      <w:r w:rsidR="00234148" w:rsidRPr="00234148">
        <w:rPr>
          <w:rFonts w:ascii="Century Gothic" w:hAnsi="Century Gothic" w:cs="Calibri"/>
          <w:sz w:val="24"/>
          <w:szCs w:val="24"/>
        </w:rPr>
        <w:t xml:space="preserve"> así como en el 3º, de la </w:t>
      </w:r>
      <w:r w:rsidR="00234148" w:rsidRPr="00234148">
        <w:rPr>
          <w:rFonts w:ascii="Century Gothic" w:hAnsi="Century Gothic" w:cs="Calibri"/>
          <w:b/>
          <w:bCs/>
          <w:sz w:val="24"/>
          <w:szCs w:val="24"/>
        </w:rPr>
        <w:t>Convención Interamericana para la eliminación de todas las formas de Discriminación contra las Personas con Discapacidad</w:t>
      </w:r>
      <w:r w:rsidR="00234148" w:rsidRPr="00234148">
        <w:rPr>
          <w:rFonts w:ascii="Century Gothic" w:hAnsi="Century Gothic" w:cs="Calibri"/>
          <w:sz w:val="24"/>
          <w:szCs w:val="24"/>
        </w:rPr>
        <w:t>.</w:t>
      </w:r>
      <w:r w:rsidR="00B00E3A">
        <w:rPr>
          <w:rStyle w:val="Refdenotaalpie"/>
          <w:rFonts w:ascii="Century Gothic" w:hAnsi="Century Gothic" w:cs="Calibri"/>
          <w:sz w:val="24"/>
          <w:szCs w:val="24"/>
        </w:rPr>
        <w:footnoteReference w:id="6"/>
      </w:r>
      <w:r w:rsidR="00234148" w:rsidRPr="00234148">
        <w:rPr>
          <w:rFonts w:ascii="Century Gothic" w:hAnsi="Century Gothic" w:cs="Calibri"/>
          <w:sz w:val="24"/>
          <w:szCs w:val="24"/>
        </w:rPr>
        <w:cr/>
      </w:r>
    </w:p>
    <w:p w14:paraId="33070715" w14:textId="0440E1D9" w:rsidR="009A116B" w:rsidRDefault="00B00E3A" w:rsidP="009A116B">
      <w:pPr>
        <w:spacing w:after="0" w:line="360" w:lineRule="auto"/>
        <w:jc w:val="both"/>
        <w:rPr>
          <w:rFonts w:ascii="Century Gothic" w:hAnsi="Century Gothic" w:cs="Calibri"/>
          <w:sz w:val="24"/>
          <w:szCs w:val="24"/>
        </w:rPr>
      </w:pPr>
      <w:r>
        <w:rPr>
          <w:rFonts w:ascii="Century Gothic" w:hAnsi="Century Gothic" w:cs="Calibri"/>
          <w:sz w:val="24"/>
          <w:szCs w:val="24"/>
        </w:rPr>
        <w:t>Ahora bien, en relación al acceso que tienen las mujeres a este derecho humano, l</w:t>
      </w:r>
      <w:r w:rsidR="009A116B" w:rsidRPr="002D4506">
        <w:rPr>
          <w:rFonts w:ascii="Century Gothic" w:hAnsi="Century Gothic" w:cs="Calibri"/>
          <w:sz w:val="24"/>
          <w:szCs w:val="24"/>
        </w:rPr>
        <w:t xml:space="preserve">a </w:t>
      </w:r>
      <w:r w:rsidR="009A116B" w:rsidRPr="00B00E3A">
        <w:rPr>
          <w:rFonts w:ascii="Century Gothic" w:hAnsi="Century Gothic" w:cs="Calibri"/>
          <w:b/>
          <w:bCs/>
          <w:sz w:val="24"/>
          <w:szCs w:val="24"/>
        </w:rPr>
        <w:t xml:space="preserve">Observación general </w:t>
      </w:r>
      <w:proofErr w:type="spellStart"/>
      <w:r w:rsidR="009A116B" w:rsidRPr="00B00E3A">
        <w:rPr>
          <w:rFonts w:ascii="Century Gothic" w:hAnsi="Century Gothic" w:cs="Calibri"/>
          <w:b/>
          <w:bCs/>
          <w:sz w:val="24"/>
          <w:szCs w:val="24"/>
        </w:rPr>
        <w:t>Nº</w:t>
      </w:r>
      <w:proofErr w:type="spellEnd"/>
      <w:r w:rsidR="009A116B" w:rsidRPr="00B00E3A">
        <w:rPr>
          <w:rFonts w:ascii="Century Gothic" w:hAnsi="Century Gothic" w:cs="Calibri"/>
          <w:b/>
          <w:bCs/>
          <w:sz w:val="24"/>
          <w:szCs w:val="24"/>
        </w:rPr>
        <w:t xml:space="preserve"> 16 (2005) del Comité de Derechos </w:t>
      </w:r>
      <w:r w:rsidR="009A116B" w:rsidRPr="00B00E3A">
        <w:rPr>
          <w:rFonts w:ascii="Century Gothic" w:hAnsi="Century Gothic" w:cs="Calibri"/>
          <w:b/>
          <w:bCs/>
          <w:sz w:val="24"/>
          <w:szCs w:val="24"/>
        </w:rPr>
        <w:lastRenderedPageBreak/>
        <w:t>Económicos, Sociales y Culturales</w:t>
      </w:r>
      <w:r>
        <w:rPr>
          <w:rFonts w:ascii="Century Gothic" w:hAnsi="Century Gothic" w:cs="Calibri"/>
          <w:b/>
          <w:bCs/>
          <w:sz w:val="24"/>
          <w:szCs w:val="24"/>
        </w:rPr>
        <w:t>,</w:t>
      </w:r>
      <w:r w:rsidRPr="00B00E3A">
        <w:rPr>
          <w:rStyle w:val="Refdenotaalpie"/>
          <w:rFonts w:ascii="Century Gothic" w:hAnsi="Century Gothic" w:cs="Calibri"/>
          <w:b/>
          <w:bCs/>
          <w:sz w:val="24"/>
          <w:szCs w:val="24"/>
        </w:rPr>
        <w:footnoteReference w:id="7"/>
      </w:r>
      <w:r w:rsidRPr="00B00E3A">
        <w:rPr>
          <w:rFonts w:ascii="Century Gothic" w:hAnsi="Century Gothic" w:cs="Calibri"/>
          <w:b/>
          <w:bCs/>
          <w:sz w:val="24"/>
          <w:szCs w:val="24"/>
        </w:rPr>
        <w:t xml:space="preserve"> </w:t>
      </w:r>
      <w:r w:rsidR="009A116B">
        <w:rPr>
          <w:rFonts w:ascii="Century Gothic" w:hAnsi="Century Gothic" w:cs="Calibri"/>
          <w:sz w:val="24"/>
          <w:szCs w:val="24"/>
        </w:rPr>
        <w:t xml:space="preserve">enuncia </w:t>
      </w:r>
      <w:r w:rsidR="009A116B" w:rsidRPr="002D4506">
        <w:rPr>
          <w:rFonts w:ascii="Century Gothic" w:hAnsi="Century Gothic" w:cs="Calibri"/>
          <w:sz w:val="24"/>
          <w:szCs w:val="24"/>
        </w:rPr>
        <w:t>que las vulneraciones del de</w:t>
      </w:r>
      <w:r w:rsidR="009A116B">
        <w:rPr>
          <w:rFonts w:ascii="Century Gothic" w:hAnsi="Century Gothic" w:cs="Calibri"/>
          <w:sz w:val="24"/>
          <w:szCs w:val="24"/>
        </w:rPr>
        <w:t xml:space="preserve">recho de la mujer a la vivienda </w:t>
      </w:r>
      <w:r w:rsidR="009A116B" w:rsidRPr="002D4506">
        <w:rPr>
          <w:rFonts w:ascii="Century Gothic" w:hAnsi="Century Gothic" w:cs="Calibri"/>
          <w:sz w:val="24"/>
          <w:szCs w:val="24"/>
        </w:rPr>
        <w:t>a menudo son el resultado de leyes, polí</w:t>
      </w:r>
      <w:r w:rsidR="009A116B">
        <w:rPr>
          <w:rFonts w:ascii="Century Gothic" w:hAnsi="Century Gothic" w:cs="Calibri"/>
          <w:sz w:val="24"/>
          <w:szCs w:val="24"/>
        </w:rPr>
        <w:t xml:space="preserve">ticas, costumbres y tradiciones </w:t>
      </w:r>
      <w:r w:rsidR="009A116B" w:rsidRPr="002D4506">
        <w:rPr>
          <w:rFonts w:ascii="Century Gothic" w:hAnsi="Century Gothic" w:cs="Calibri"/>
          <w:sz w:val="24"/>
          <w:szCs w:val="24"/>
        </w:rPr>
        <w:t>discriminatorias en otros ámbitos q</w:t>
      </w:r>
      <w:r w:rsidR="009A116B">
        <w:rPr>
          <w:rFonts w:ascii="Century Gothic" w:hAnsi="Century Gothic" w:cs="Calibri"/>
          <w:sz w:val="24"/>
          <w:szCs w:val="24"/>
        </w:rPr>
        <w:t xml:space="preserve">ue dan lugar a desigualdades </w:t>
      </w:r>
      <w:r w:rsidR="009A116B" w:rsidRPr="002D4506">
        <w:rPr>
          <w:rFonts w:ascii="Century Gothic" w:hAnsi="Century Gothic" w:cs="Calibri"/>
          <w:sz w:val="24"/>
          <w:szCs w:val="24"/>
        </w:rPr>
        <w:t>profundamente arraigadas entre el hombr</w:t>
      </w:r>
      <w:r w:rsidR="009A116B">
        <w:rPr>
          <w:rFonts w:ascii="Century Gothic" w:hAnsi="Century Gothic" w:cs="Calibri"/>
          <w:sz w:val="24"/>
          <w:szCs w:val="24"/>
        </w:rPr>
        <w:t xml:space="preserve">e y la mujer en </w:t>
      </w:r>
      <w:r w:rsidR="005B7DE0">
        <w:rPr>
          <w:rFonts w:ascii="Century Gothic" w:hAnsi="Century Gothic" w:cs="Calibri"/>
          <w:sz w:val="24"/>
          <w:szCs w:val="24"/>
        </w:rPr>
        <w:t>esta</w:t>
      </w:r>
      <w:r w:rsidR="009A116B">
        <w:rPr>
          <w:rFonts w:ascii="Century Gothic" w:hAnsi="Century Gothic" w:cs="Calibri"/>
          <w:sz w:val="24"/>
          <w:szCs w:val="24"/>
        </w:rPr>
        <w:t xml:space="preserve"> esfera</w:t>
      </w:r>
      <w:r w:rsidR="005B7DE0">
        <w:rPr>
          <w:rFonts w:ascii="Century Gothic" w:hAnsi="Century Gothic" w:cs="Calibri"/>
          <w:sz w:val="24"/>
          <w:szCs w:val="24"/>
        </w:rPr>
        <w:t xml:space="preserve">. </w:t>
      </w:r>
    </w:p>
    <w:p w14:paraId="48787BBD" w14:textId="77777777" w:rsidR="009A116B" w:rsidRDefault="009A116B" w:rsidP="009A116B">
      <w:pPr>
        <w:spacing w:after="0" w:line="360" w:lineRule="auto"/>
        <w:jc w:val="both"/>
        <w:rPr>
          <w:rFonts w:ascii="Century Gothic" w:hAnsi="Century Gothic" w:cs="Calibri"/>
          <w:sz w:val="24"/>
          <w:szCs w:val="24"/>
        </w:rPr>
      </w:pPr>
    </w:p>
    <w:p w14:paraId="512FDC53" w14:textId="64CB93DB" w:rsidR="009A116B" w:rsidRPr="00A85106" w:rsidRDefault="009A116B" w:rsidP="009A116B">
      <w:pPr>
        <w:spacing w:after="0" w:line="360" w:lineRule="auto"/>
        <w:jc w:val="both"/>
        <w:rPr>
          <w:rFonts w:ascii="Century Gothic" w:hAnsi="Century Gothic" w:cs="Calibri"/>
          <w:i/>
          <w:sz w:val="24"/>
          <w:szCs w:val="24"/>
        </w:rPr>
      </w:pPr>
      <w:r>
        <w:rPr>
          <w:rFonts w:ascii="Century Gothic" w:hAnsi="Century Gothic" w:cs="Calibri"/>
          <w:sz w:val="24"/>
          <w:szCs w:val="24"/>
        </w:rPr>
        <w:t xml:space="preserve">Por </w:t>
      </w:r>
      <w:r w:rsidR="00B00E3A">
        <w:rPr>
          <w:rFonts w:ascii="Century Gothic" w:hAnsi="Century Gothic" w:cs="Calibri"/>
          <w:sz w:val="24"/>
          <w:szCs w:val="24"/>
        </w:rPr>
        <w:t>su parte</w:t>
      </w:r>
      <w:r>
        <w:rPr>
          <w:rFonts w:ascii="Century Gothic" w:hAnsi="Century Gothic" w:cs="Calibri"/>
          <w:sz w:val="24"/>
          <w:szCs w:val="24"/>
        </w:rPr>
        <w:t>,</w:t>
      </w:r>
      <w:r w:rsidRPr="0023656F">
        <w:rPr>
          <w:rFonts w:ascii="Century Gothic" w:hAnsi="Century Gothic" w:cs="Calibri"/>
          <w:sz w:val="24"/>
          <w:szCs w:val="24"/>
        </w:rPr>
        <w:t xml:space="preserve"> la </w:t>
      </w:r>
      <w:r w:rsidRPr="00B00E3A">
        <w:rPr>
          <w:rFonts w:ascii="Century Gothic" w:hAnsi="Century Gothic" w:cs="Calibri"/>
          <w:b/>
          <w:bCs/>
          <w:sz w:val="24"/>
          <w:szCs w:val="24"/>
        </w:rPr>
        <w:t xml:space="preserve">Recomendación general </w:t>
      </w:r>
      <w:proofErr w:type="spellStart"/>
      <w:r w:rsidRPr="00B00E3A">
        <w:rPr>
          <w:rFonts w:ascii="Century Gothic" w:hAnsi="Century Gothic" w:cs="Calibri"/>
          <w:b/>
          <w:bCs/>
          <w:sz w:val="24"/>
          <w:szCs w:val="24"/>
        </w:rPr>
        <w:t>Nº</w:t>
      </w:r>
      <w:proofErr w:type="spellEnd"/>
      <w:r w:rsidRPr="00B00E3A">
        <w:rPr>
          <w:rFonts w:ascii="Century Gothic" w:hAnsi="Century Gothic" w:cs="Calibri"/>
          <w:b/>
          <w:bCs/>
          <w:sz w:val="24"/>
          <w:szCs w:val="24"/>
        </w:rPr>
        <w:t xml:space="preserve"> 21 (1994) del Comité para la Eliminación de la Discriminación contra la Muje</w:t>
      </w:r>
      <w:r w:rsidR="00B00E3A">
        <w:rPr>
          <w:rFonts w:ascii="Century Gothic" w:hAnsi="Century Gothic" w:cs="Calibri"/>
          <w:b/>
          <w:bCs/>
          <w:sz w:val="24"/>
          <w:szCs w:val="24"/>
        </w:rPr>
        <w:t>r,</w:t>
      </w:r>
      <w:r>
        <w:rPr>
          <w:rStyle w:val="Refdenotaalpie"/>
          <w:rFonts w:ascii="Century Gothic" w:hAnsi="Century Gothic" w:cs="Calibri"/>
          <w:sz w:val="24"/>
          <w:szCs w:val="24"/>
        </w:rPr>
        <w:footnoteReference w:id="8"/>
      </w:r>
      <w:r>
        <w:rPr>
          <w:rFonts w:ascii="Century Gothic" w:hAnsi="Century Gothic" w:cs="Calibri"/>
          <w:sz w:val="24"/>
          <w:szCs w:val="24"/>
        </w:rPr>
        <w:t xml:space="preserve">  afirma que </w:t>
      </w:r>
      <w:r w:rsidRPr="0023656F">
        <w:rPr>
          <w:rFonts w:ascii="Century Gothic" w:hAnsi="Century Gothic" w:cs="Calibri"/>
          <w:sz w:val="24"/>
          <w:szCs w:val="24"/>
        </w:rPr>
        <w:t>“</w:t>
      </w:r>
      <w:r w:rsidRPr="00AF4447">
        <w:rPr>
          <w:rFonts w:ascii="Century Gothic" w:hAnsi="Century Gothic" w:cs="Calibri"/>
          <w:i/>
          <w:sz w:val="24"/>
          <w:szCs w:val="24"/>
        </w:rPr>
        <w:t>El derecho de la mujer a la propiedad, la administración y la disposición de los bienes es fundamental para que pueda tener independencia económica y en muchos países será de crítica importancia para que</w:t>
      </w:r>
      <w:r>
        <w:rPr>
          <w:rFonts w:ascii="Century Gothic" w:hAnsi="Century Gothic" w:cs="Calibri"/>
          <w:i/>
          <w:sz w:val="24"/>
          <w:szCs w:val="24"/>
        </w:rPr>
        <w:t xml:space="preserve"> </w:t>
      </w:r>
      <w:r w:rsidRPr="00AF4447">
        <w:rPr>
          <w:rFonts w:ascii="Century Gothic" w:hAnsi="Century Gothic" w:cs="Calibri"/>
          <w:i/>
          <w:sz w:val="24"/>
          <w:szCs w:val="24"/>
        </w:rPr>
        <w:t>pueda ganarse la vida y tener una vivienda y alimentación adecuadas para ella y para su familia</w:t>
      </w:r>
      <w:r>
        <w:rPr>
          <w:rFonts w:ascii="Century Gothic" w:hAnsi="Century Gothic" w:cs="Calibri"/>
          <w:sz w:val="24"/>
          <w:szCs w:val="24"/>
        </w:rPr>
        <w:t>”</w:t>
      </w:r>
      <w:r w:rsidRPr="0023656F">
        <w:rPr>
          <w:rFonts w:ascii="Century Gothic" w:hAnsi="Century Gothic" w:cs="Calibri"/>
          <w:sz w:val="24"/>
          <w:szCs w:val="24"/>
        </w:rPr>
        <w:t xml:space="preserve">. </w:t>
      </w:r>
      <w:r w:rsidRPr="0023656F">
        <w:rPr>
          <w:rFonts w:ascii="Century Gothic" w:hAnsi="Century Gothic" w:cs="Calibri"/>
          <w:sz w:val="24"/>
          <w:szCs w:val="24"/>
        </w:rPr>
        <w:cr/>
      </w:r>
    </w:p>
    <w:p w14:paraId="34242DC0" w14:textId="18FEDF41" w:rsidR="009A116B" w:rsidRDefault="005B7DE0" w:rsidP="009A116B">
      <w:pPr>
        <w:spacing w:after="0" w:line="360" w:lineRule="auto"/>
        <w:jc w:val="both"/>
        <w:rPr>
          <w:rFonts w:ascii="Century Gothic" w:hAnsi="Century Gothic" w:cs="Calibri"/>
          <w:sz w:val="24"/>
          <w:szCs w:val="24"/>
        </w:rPr>
      </w:pPr>
      <w:r>
        <w:rPr>
          <w:rFonts w:ascii="Century Gothic" w:hAnsi="Century Gothic" w:cs="Calibri"/>
          <w:sz w:val="24"/>
          <w:szCs w:val="24"/>
        </w:rPr>
        <w:t>En este sentido</w:t>
      </w:r>
      <w:r w:rsidR="009A116B">
        <w:rPr>
          <w:rFonts w:ascii="Century Gothic" w:hAnsi="Century Gothic" w:cs="Calibri"/>
          <w:sz w:val="24"/>
          <w:szCs w:val="24"/>
        </w:rPr>
        <w:t>, l</w:t>
      </w:r>
      <w:r w:rsidR="009A116B" w:rsidRPr="0023656F">
        <w:rPr>
          <w:rFonts w:ascii="Century Gothic" w:hAnsi="Century Gothic" w:cs="Calibri"/>
          <w:sz w:val="24"/>
          <w:szCs w:val="24"/>
        </w:rPr>
        <w:t xml:space="preserve">a </w:t>
      </w:r>
      <w:r w:rsidR="009A116B" w:rsidRPr="005B7DE0">
        <w:rPr>
          <w:rFonts w:ascii="Century Gothic" w:hAnsi="Century Gothic" w:cs="Calibri"/>
          <w:b/>
          <w:bCs/>
          <w:sz w:val="24"/>
          <w:szCs w:val="24"/>
        </w:rPr>
        <w:t>Plataforma de Acción de Beijing</w:t>
      </w:r>
      <w:r w:rsidR="009A116B">
        <w:rPr>
          <w:rStyle w:val="Refdenotaalpie"/>
          <w:rFonts w:ascii="Century Gothic" w:hAnsi="Century Gothic" w:cs="Calibri"/>
          <w:sz w:val="24"/>
          <w:szCs w:val="24"/>
        </w:rPr>
        <w:footnoteReference w:id="9"/>
      </w:r>
      <w:r w:rsidR="009A116B" w:rsidRPr="0023656F">
        <w:rPr>
          <w:rFonts w:ascii="Century Gothic" w:hAnsi="Century Gothic" w:cs="Calibri"/>
          <w:sz w:val="24"/>
          <w:szCs w:val="24"/>
        </w:rPr>
        <w:t xml:space="preserve"> e</w:t>
      </w:r>
      <w:r w:rsidR="009A116B">
        <w:rPr>
          <w:rFonts w:ascii="Century Gothic" w:hAnsi="Century Gothic" w:cs="Calibri"/>
          <w:sz w:val="24"/>
          <w:szCs w:val="24"/>
        </w:rPr>
        <w:t xml:space="preserve">xhorta a los Estados a eliminar </w:t>
      </w:r>
      <w:r w:rsidR="009A116B" w:rsidRPr="0023656F">
        <w:rPr>
          <w:rFonts w:ascii="Century Gothic" w:hAnsi="Century Gothic" w:cs="Calibri"/>
          <w:sz w:val="24"/>
          <w:szCs w:val="24"/>
        </w:rPr>
        <w:t>todos los obstáculos que impiden q</w:t>
      </w:r>
      <w:r w:rsidR="009A116B">
        <w:rPr>
          <w:rFonts w:ascii="Century Gothic" w:hAnsi="Century Gothic" w:cs="Calibri"/>
          <w:sz w:val="24"/>
          <w:szCs w:val="24"/>
        </w:rPr>
        <w:t xml:space="preserve">ue la mujer obtenga </w:t>
      </w:r>
      <w:r w:rsidR="009A116B" w:rsidRPr="00624E85">
        <w:rPr>
          <w:rFonts w:ascii="Century Gothic" w:hAnsi="Century Gothic" w:cs="Calibri"/>
          <w:sz w:val="24"/>
          <w:szCs w:val="24"/>
        </w:rPr>
        <w:t>viviendas a precios razonables y acceda a las tierras,</w:t>
      </w:r>
      <w:r w:rsidR="009A116B">
        <w:rPr>
          <w:rFonts w:ascii="Century Gothic" w:hAnsi="Century Gothic" w:cs="Calibri"/>
          <w:sz w:val="24"/>
          <w:szCs w:val="24"/>
        </w:rPr>
        <w:t xml:space="preserve"> y a emprender </w:t>
      </w:r>
      <w:r w:rsidR="009A116B" w:rsidRPr="0023656F">
        <w:rPr>
          <w:rFonts w:ascii="Century Gothic" w:hAnsi="Century Gothic" w:cs="Calibri"/>
          <w:sz w:val="24"/>
          <w:szCs w:val="24"/>
        </w:rPr>
        <w:t>las reformas legislativas y administrativas necesaria</w:t>
      </w:r>
      <w:r w:rsidR="009A116B">
        <w:rPr>
          <w:rFonts w:ascii="Century Gothic" w:hAnsi="Century Gothic" w:cs="Calibri"/>
          <w:sz w:val="24"/>
          <w:szCs w:val="24"/>
        </w:rPr>
        <w:t xml:space="preserve">s para dar a la mujer </w:t>
      </w:r>
      <w:r w:rsidR="009A116B" w:rsidRPr="0023656F">
        <w:rPr>
          <w:rFonts w:ascii="Century Gothic" w:hAnsi="Century Gothic" w:cs="Calibri"/>
          <w:sz w:val="24"/>
          <w:szCs w:val="24"/>
        </w:rPr>
        <w:t>acceso en pie de igualdad a los rec</w:t>
      </w:r>
      <w:r w:rsidR="009A116B">
        <w:rPr>
          <w:rFonts w:ascii="Century Gothic" w:hAnsi="Century Gothic" w:cs="Calibri"/>
          <w:sz w:val="24"/>
          <w:szCs w:val="24"/>
        </w:rPr>
        <w:t xml:space="preserve">ursos económicos y reconocer su </w:t>
      </w:r>
      <w:r w:rsidR="009A116B" w:rsidRPr="0023656F">
        <w:rPr>
          <w:rFonts w:ascii="Century Gothic" w:hAnsi="Century Gothic" w:cs="Calibri"/>
          <w:sz w:val="24"/>
          <w:szCs w:val="24"/>
        </w:rPr>
        <w:t>derecho a la heren</w:t>
      </w:r>
      <w:r w:rsidR="009A116B">
        <w:rPr>
          <w:rFonts w:ascii="Century Gothic" w:hAnsi="Century Gothic" w:cs="Calibri"/>
          <w:sz w:val="24"/>
          <w:szCs w:val="24"/>
        </w:rPr>
        <w:t>cia de propiedades</w:t>
      </w:r>
      <w:r w:rsidR="009A116B" w:rsidRPr="0023656F">
        <w:rPr>
          <w:rFonts w:ascii="Century Gothic" w:hAnsi="Century Gothic" w:cs="Calibri"/>
          <w:sz w:val="24"/>
          <w:szCs w:val="24"/>
        </w:rPr>
        <w:t>.</w:t>
      </w:r>
    </w:p>
    <w:p w14:paraId="04C784CD" w14:textId="77777777" w:rsidR="00397655" w:rsidRDefault="00397655" w:rsidP="009A116B">
      <w:pPr>
        <w:spacing w:after="0" w:line="360" w:lineRule="auto"/>
        <w:jc w:val="both"/>
        <w:rPr>
          <w:rFonts w:ascii="Century Gothic" w:hAnsi="Century Gothic" w:cs="Calibri"/>
          <w:sz w:val="24"/>
          <w:szCs w:val="24"/>
        </w:rPr>
      </w:pPr>
    </w:p>
    <w:p w14:paraId="1349289A" w14:textId="5051B554" w:rsidR="00FD5F15" w:rsidRDefault="009F4668" w:rsidP="00FD5F15">
      <w:pPr>
        <w:spacing w:after="0" w:line="360" w:lineRule="auto"/>
        <w:jc w:val="both"/>
        <w:rPr>
          <w:rFonts w:ascii="Century Gothic" w:hAnsi="Century Gothic" w:cs="Calibri"/>
          <w:sz w:val="24"/>
          <w:szCs w:val="24"/>
        </w:rPr>
      </w:pPr>
      <w:r w:rsidRPr="00001947">
        <w:rPr>
          <w:rFonts w:ascii="Century Gothic" w:hAnsi="Century Gothic" w:cs="Calibri"/>
          <w:b/>
          <w:sz w:val="24"/>
          <w:szCs w:val="24"/>
        </w:rPr>
        <w:t>IV.-</w:t>
      </w:r>
      <w:r>
        <w:rPr>
          <w:rFonts w:ascii="Century Gothic" w:hAnsi="Century Gothic" w:cs="Calibri"/>
          <w:bCs/>
          <w:sz w:val="24"/>
          <w:szCs w:val="24"/>
        </w:rPr>
        <w:t xml:space="preserve"> </w:t>
      </w:r>
      <w:r w:rsidR="00FD5F15" w:rsidRPr="00420463">
        <w:rPr>
          <w:rFonts w:ascii="Century Gothic" w:hAnsi="Century Gothic" w:cs="Calibri"/>
          <w:sz w:val="24"/>
          <w:szCs w:val="24"/>
        </w:rPr>
        <w:t>Cabe señalar que, el artículo 4o.</w:t>
      </w:r>
      <w:r w:rsidR="00FD5F15">
        <w:rPr>
          <w:rFonts w:ascii="Century Gothic" w:hAnsi="Century Gothic" w:cs="Calibri"/>
          <w:sz w:val="24"/>
          <w:szCs w:val="24"/>
        </w:rPr>
        <w:t xml:space="preserve">, párrafo séptimo, </w:t>
      </w:r>
      <w:r w:rsidR="00FD5F15" w:rsidRPr="00420463">
        <w:rPr>
          <w:rFonts w:ascii="Century Gothic" w:hAnsi="Century Gothic" w:cs="Calibri"/>
          <w:sz w:val="24"/>
          <w:szCs w:val="24"/>
        </w:rPr>
        <w:t xml:space="preserve">de la </w:t>
      </w:r>
      <w:r w:rsidR="00FD5F15" w:rsidRPr="00FD5F15">
        <w:rPr>
          <w:rFonts w:ascii="Century Gothic" w:hAnsi="Century Gothic" w:cs="Calibri"/>
          <w:b/>
          <w:bCs/>
          <w:sz w:val="24"/>
          <w:szCs w:val="24"/>
        </w:rPr>
        <w:t>Constitución Política de los Estado</w:t>
      </w:r>
      <w:r w:rsidR="00FD5F15">
        <w:rPr>
          <w:rFonts w:ascii="Century Gothic" w:hAnsi="Century Gothic" w:cs="Calibri"/>
          <w:b/>
          <w:bCs/>
          <w:sz w:val="24"/>
          <w:szCs w:val="24"/>
        </w:rPr>
        <w:t>s</w:t>
      </w:r>
      <w:r w:rsidR="00FD5F15" w:rsidRPr="00FD5F15">
        <w:rPr>
          <w:rFonts w:ascii="Century Gothic" w:hAnsi="Century Gothic" w:cs="Calibri"/>
          <w:b/>
          <w:bCs/>
          <w:sz w:val="24"/>
          <w:szCs w:val="24"/>
        </w:rPr>
        <w:t xml:space="preserve"> Unidos Mexicanos</w:t>
      </w:r>
      <w:r w:rsidR="00FD5F15">
        <w:rPr>
          <w:rFonts w:ascii="Century Gothic" w:hAnsi="Century Gothic" w:cs="Calibri"/>
          <w:b/>
          <w:bCs/>
          <w:sz w:val="24"/>
          <w:szCs w:val="24"/>
        </w:rPr>
        <w:t>,</w:t>
      </w:r>
      <w:r w:rsidR="00FD5F15">
        <w:rPr>
          <w:rStyle w:val="Refdenotaalpie"/>
          <w:rFonts w:ascii="Century Gothic" w:hAnsi="Century Gothic" w:cs="Calibri"/>
          <w:b/>
          <w:bCs/>
          <w:sz w:val="24"/>
          <w:szCs w:val="24"/>
        </w:rPr>
        <w:footnoteReference w:id="10"/>
      </w:r>
      <w:r w:rsidR="00FD5F15" w:rsidRPr="00420463">
        <w:rPr>
          <w:rFonts w:ascii="Century Gothic" w:hAnsi="Century Gothic" w:cs="Calibri"/>
          <w:sz w:val="24"/>
          <w:szCs w:val="24"/>
        </w:rPr>
        <w:t xml:space="preserve"> establece: “</w:t>
      </w:r>
      <w:r w:rsidR="00FD5F15" w:rsidRPr="00B1539F">
        <w:rPr>
          <w:rFonts w:ascii="Century Gothic" w:hAnsi="Century Gothic" w:cs="Calibri"/>
          <w:i/>
          <w:sz w:val="24"/>
          <w:szCs w:val="24"/>
        </w:rPr>
        <w:t>Toda familia tiene derecho a disfrutar de vivienda digna y decorosa. La Ley establecerá los instrumentos y apoyos necesarios a fin de alcanzar tal objetivo</w:t>
      </w:r>
      <w:r w:rsidR="00FD5F15" w:rsidRPr="00420463">
        <w:rPr>
          <w:rFonts w:ascii="Century Gothic" w:hAnsi="Century Gothic" w:cs="Calibri"/>
          <w:sz w:val="24"/>
          <w:szCs w:val="24"/>
        </w:rPr>
        <w:t>.”</w:t>
      </w:r>
    </w:p>
    <w:p w14:paraId="78A745AD" w14:textId="77777777" w:rsidR="00FD5F15" w:rsidRDefault="00FD5F15" w:rsidP="00FD5F15">
      <w:pPr>
        <w:spacing w:after="0" w:line="360" w:lineRule="auto"/>
        <w:jc w:val="both"/>
        <w:rPr>
          <w:rFonts w:ascii="Century Gothic" w:hAnsi="Century Gothic" w:cs="Calibri"/>
          <w:sz w:val="24"/>
          <w:szCs w:val="24"/>
        </w:rPr>
      </w:pPr>
    </w:p>
    <w:p w14:paraId="442904B8" w14:textId="69A63BD8" w:rsidR="00FD5F15" w:rsidRDefault="00FD5F15" w:rsidP="00FD5F15">
      <w:pPr>
        <w:spacing w:after="0" w:line="360" w:lineRule="auto"/>
        <w:jc w:val="both"/>
        <w:rPr>
          <w:rFonts w:ascii="Century Gothic" w:hAnsi="Century Gothic" w:cs="Calibri"/>
          <w:sz w:val="24"/>
          <w:szCs w:val="24"/>
        </w:rPr>
      </w:pPr>
      <w:r>
        <w:rPr>
          <w:rFonts w:ascii="Century Gothic" w:hAnsi="Century Gothic" w:cs="Calibri"/>
          <w:sz w:val="24"/>
          <w:szCs w:val="24"/>
        </w:rPr>
        <w:t xml:space="preserve">Tal como se aprecia de la lectura del precepto constitucional aludido, se reconoce el derecho a la vivienda como un derecho humano, entendido como la obligación que tiene el estado para garantizar el acceso a un espacio digno, donde prevalezca la paz, la seguridad; velando entre otras cosas por el desarrollo de la familia y del individuo. </w:t>
      </w:r>
    </w:p>
    <w:p w14:paraId="2952AFA0" w14:textId="64286504" w:rsidR="00FD5F15" w:rsidRDefault="00FD5F15" w:rsidP="00FD5F15">
      <w:pPr>
        <w:spacing w:after="0" w:line="360" w:lineRule="auto"/>
        <w:jc w:val="both"/>
        <w:rPr>
          <w:rFonts w:ascii="Century Gothic" w:hAnsi="Century Gothic" w:cs="Calibri"/>
          <w:sz w:val="24"/>
          <w:szCs w:val="24"/>
        </w:rPr>
      </w:pPr>
    </w:p>
    <w:p w14:paraId="6A73DAC0" w14:textId="77777777" w:rsidR="00FD5F15" w:rsidRDefault="00FD5F15" w:rsidP="00FD5F15">
      <w:pPr>
        <w:spacing w:after="0" w:line="360" w:lineRule="auto"/>
        <w:jc w:val="both"/>
        <w:rPr>
          <w:rFonts w:ascii="Century Gothic" w:hAnsi="Century Gothic" w:cs="Calibri"/>
          <w:sz w:val="24"/>
          <w:szCs w:val="24"/>
        </w:rPr>
      </w:pPr>
      <w:r>
        <w:rPr>
          <w:rFonts w:ascii="Century Gothic" w:hAnsi="Century Gothic" w:cs="Calibri"/>
          <w:sz w:val="24"/>
          <w:szCs w:val="24"/>
        </w:rPr>
        <w:t>En este sentido, una tesis orientadora emitida por los Tribunales Colegiados de Circuito en materia constitucional, establece</w:t>
      </w:r>
      <w:r w:rsidRPr="00420463">
        <w:rPr>
          <w:rFonts w:ascii="Century Gothic" w:hAnsi="Century Gothic" w:cs="Calibri"/>
          <w:sz w:val="24"/>
          <w:szCs w:val="24"/>
        </w:rPr>
        <w:t xml:space="preserve"> que el cumplimiento de acceso a este derecho humano ocurre </w:t>
      </w:r>
      <w:r>
        <w:rPr>
          <w:rFonts w:ascii="Century Gothic" w:hAnsi="Century Gothic" w:cs="Calibri"/>
          <w:sz w:val="24"/>
          <w:szCs w:val="24"/>
        </w:rPr>
        <w:t>“</w:t>
      </w:r>
      <w:r w:rsidRPr="008563E7">
        <w:rPr>
          <w:rFonts w:ascii="Century Gothic" w:hAnsi="Century Gothic" w:cs="Calibri"/>
          <w:i/>
          <w:sz w:val="24"/>
          <w:szCs w:val="24"/>
        </w:rPr>
        <w:t xml:space="preserve">cuando el Estado Mexicano posibilita la obtención de vivienda a través de créditos accesibles con intereses </w:t>
      </w:r>
      <w:r>
        <w:rPr>
          <w:rFonts w:ascii="Century Gothic" w:hAnsi="Century Gothic" w:cs="Calibri"/>
          <w:i/>
          <w:sz w:val="24"/>
          <w:szCs w:val="24"/>
        </w:rPr>
        <w:t>moderados, por medio de diversas</w:t>
      </w:r>
      <w:r w:rsidRPr="008563E7">
        <w:rPr>
          <w:rFonts w:ascii="Century Gothic" w:hAnsi="Century Gothic" w:cs="Calibri"/>
          <w:i/>
          <w:sz w:val="24"/>
          <w:szCs w:val="24"/>
        </w:rPr>
        <w:t xml:space="preserve"> instituciones, ya sea de gobierno o privadas</w:t>
      </w:r>
      <w:r>
        <w:rPr>
          <w:rStyle w:val="Refdenotaalpie"/>
          <w:rFonts w:ascii="Century Gothic" w:hAnsi="Century Gothic" w:cs="Calibri"/>
          <w:sz w:val="24"/>
          <w:szCs w:val="24"/>
        </w:rPr>
        <w:footnoteReference w:id="11"/>
      </w:r>
      <w:r w:rsidRPr="00420463">
        <w:rPr>
          <w:rFonts w:ascii="Century Gothic" w:hAnsi="Century Gothic" w:cs="Calibri"/>
          <w:sz w:val="24"/>
          <w:szCs w:val="24"/>
        </w:rPr>
        <w:t>.</w:t>
      </w:r>
      <w:r>
        <w:rPr>
          <w:rFonts w:ascii="Century Gothic" w:hAnsi="Century Gothic" w:cs="Calibri"/>
          <w:sz w:val="24"/>
          <w:szCs w:val="24"/>
        </w:rPr>
        <w:t>”</w:t>
      </w:r>
    </w:p>
    <w:p w14:paraId="799BE8F7" w14:textId="77777777" w:rsidR="00FD5F15" w:rsidRDefault="00FD5F15" w:rsidP="00FD5F15">
      <w:pPr>
        <w:spacing w:after="0" w:line="360" w:lineRule="auto"/>
        <w:jc w:val="both"/>
        <w:rPr>
          <w:rFonts w:ascii="Century Gothic" w:hAnsi="Century Gothic" w:cs="Calibri"/>
          <w:sz w:val="24"/>
          <w:szCs w:val="24"/>
        </w:rPr>
      </w:pPr>
    </w:p>
    <w:p w14:paraId="6D45372D" w14:textId="77777777" w:rsidR="00FD5F15" w:rsidRDefault="00FD5F15" w:rsidP="00FD5F15">
      <w:pPr>
        <w:spacing w:after="0" w:line="360" w:lineRule="auto"/>
        <w:jc w:val="both"/>
        <w:rPr>
          <w:rFonts w:ascii="Century Gothic" w:hAnsi="Century Gothic" w:cs="Calibri"/>
          <w:sz w:val="24"/>
          <w:szCs w:val="24"/>
        </w:rPr>
      </w:pPr>
      <w:r w:rsidRPr="001F6636">
        <w:rPr>
          <w:rFonts w:ascii="Century Gothic" w:hAnsi="Century Gothic" w:cs="Calibri"/>
          <w:sz w:val="24"/>
          <w:szCs w:val="24"/>
        </w:rPr>
        <w:lastRenderedPageBreak/>
        <w:t xml:space="preserve">En la tesis intitulada </w:t>
      </w:r>
      <w:r w:rsidRPr="00FD5F15">
        <w:rPr>
          <w:rFonts w:ascii="Century Gothic" w:hAnsi="Century Gothic" w:cs="Calibri"/>
          <w:b/>
          <w:bCs/>
          <w:sz w:val="24"/>
          <w:szCs w:val="24"/>
        </w:rPr>
        <w:t>DERECHO FUNDAMENTAL A UNA VIVIENDA DIGNA Y DECOROSA. ALCANCE DEL ARTÍCULO 4o., PÁRRAFO SÉPTIMO, DE LA CONSTITUCIÓN POLÍTICA DE LOS ESTADOS UNIDOS MEXICANOS</w:t>
      </w:r>
      <w:r>
        <w:rPr>
          <w:rStyle w:val="Refdenotaalpie"/>
          <w:rFonts w:ascii="Century Gothic" w:hAnsi="Century Gothic" w:cs="Calibri"/>
          <w:sz w:val="24"/>
          <w:szCs w:val="24"/>
        </w:rPr>
        <w:footnoteReference w:id="12"/>
      </w:r>
      <w:r w:rsidRPr="001F6636">
        <w:rPr>
          <w:rFonts w:ascii="Century Gothic" w:hAnsi="Century Gothic" w:cs="Calibri"/>
          <w:sz w:val="24"/>
          <w:szCs w:val="24"/>
        </w:rPr>
        <w:t>, la Primera Sala en</w:t>
      </w:r>
      <w:r>
        <w:rPr>
          <w:rFonts w:ascii="Century Gothic" w:hAnsi="Century Gothic" w:cs="Calibri"/>
          <w:sz w:val="24"/>
          <w:szCs w:val="24"/>
        </w:rPr>
        <w:t xml:space="preserve"> materia constitucional establece</w:t>
      </w:r>
      <w:r w:rsidRPr="001F6636">
        <w:rPr>
          <w:rFonts w:ascii="Century Gothic" w:hAnsi="Century Gothic" w:cs="Calibri"/>
          <w:sz w:val="24"/>
          <w:szCs w:val="24"/>
        </w:rPr>
        <w:t xml:space="preserve"> “</w:t>
      </w:r>
      <w:r w:rsidRPr="001F6636">
        <w:rPr>
          <w:rFonts w:ascii="Century Gothic" w:hAnsi="Century Gothic" w:cs="Calibri"/>
          <w:i/>
          <w:sz w:val="24"/>
          <w:szCs w:val="24"/>
        </w:rPr>
        <w:t>lo que dispone el artículo 4o. de la Constitución Federal constituye un derecho mínimo, sin que obste reconocer que los grupos más vulnerables requieren una protección constitucional reforzada y, en ese tenor, es constitucionalmente válido que el Estado dedique mayores recursos y programas a atender el problema de vivienda que aqueja a las clases más necesitadas, sin que ello implique hacer excluyente el derecho a la vivienda adecuada</w:t>
      </w:r>
      <w:r w:rsidRPr="001F6636">
        <w:rPr>
          <w:rFonts w:ascii="Century Gothic" w:hAnsi="Century Gothic" w:cs="Calibri"/>
          <w:sz w:val="24"/>
          <w:szCs w:val="24"/>
        </w:rPr>
        <w:t>.”</w:t>
      </w:r>
    </w:p>
    <w:p w14:paraId="1362A579" w14:textId="77777777" w:rsidR="00FD5F15" w:rsidRDefault="00FD5F15" w:rsidP="00FD5F15">
      <w:pPr>
        <w:spacing w:after="0" w:line="360" w:lineRule="auto"/>
        <w:jc w:val="both"/>
        <w:rPr>
          <w:rFonts w:ascii="Century Gothic" w:hAnsi="Century Gothic" w:cs="Calibri"/>
          <w:sz w:val="24"/>
          <w:szCs w:val="24"/>
        </w:rPr>
      </w:pPr>
    </w:p>
    <w:p w14:paraId="4A72CAA1" w14:textId="77777777" w:rsidR="00FD5F15" w:rsidRDefault="00FD5F15" w:rsidP="00FD5F15">
      <w:pPr>
        <w:spacing w:after="0" w:line="360" w:lineRule="auto"/>
        <w:jc w:val="both"/>
        <w:rPr>
          <w:rFonts w:ascii="Century Gothic" w:hAnsi="Century Gothic" w:cs="Calibri"/>
          <w:sz w:val="24"/>
          <w:szCs w:val="24"/>
        </w:rPr>
      </w:pPr>
      <w:r>
        <w:rPr>
          <w:rFonts w:ascii="Century Gothic" w:hAnsi="Century Gothic" w:cs="Calibri"/>
          <w:sz w:val="24"/>
          <w:szCs w:val="24"/>
        </w:rPr>
        <w:t xml:space="preserve">De esta manera, la Primera Sala considera </w:t>
      </w:r>
      <w:r w:rsidRPr="001F6636">
        <w:rPr>
          <w:rFonts w:ascii="Century Gothic" w:hAnsi="Century Gothic" w:cs="Calibri"/>
          <w:sz w:val="24"/>
          <w:szCs w:val="24"/>
        </w:rPr>
        <w:t>que es constitucionalmente válido reforzar</w:t>
      </w:r>
      <w:r>
        <w:rPr>
          <w:rFonts w:ascii="Century Gothic" w:hAnsi="Century Gothic" w:cs="Calibri"/>
          <w:sz w:val="24"/>
          <w:szCs w:val="24"/>
        </w:rPr>
        <w:t xml:space="preserve"> el derecho a la vivienda</w:t>
      </w:r>
      <w:r w:rsidRPr="001F6636">
        <w:rPr>
          <w:rFonts w:ascii="Century Gothic" w:hAnsi="Century Gothic" w:cs="Calibri"/>
          <w:sz w:val="24"/>
          <w:szCs w:val="24"/>
        </w:rPr>
        <w:t xml:space="preserve"> para cierto</w:t>
      </w:r>
      <w:r>
        <w:rPr>
          <w:rFonts w:ascii="Century Gothic" w:hAnsi="Century Gothic" w:cs="Calibri"/>
          <w:sz w:val="24"/>
          <w:szCs w:val="24"/>
        </w:rPr>
        <w:t>s</w:t>
      </w:r>
      <w:r w:rsidRPr="001F6636">
        <w:rPr>
          <w:rFonts w:ascii="Century Gothic" w:hAnsi="Century Gothic" w:cs="Calibri"/>
          <w:sz w:val="24"/>
          <w:szCs w:val="24"/>
        </w:rPr>
        <w:t xml:space="preserve"> grupo</w:t>
      </w:r>
      <w:r>
        <w:rPr>
          <w:rFonts w:ascii="Century Gothic" w:hAnsi="Century Gothic" w:cs="Calibri"/>
          <w:sz w:val="24"/>
          <w:szCs w:val="24"/>
        </w:rPr>
        <w:t>s</w:t>
      </w:r>
      <w:r w:rsidRPr="001F6636">
        <w:rPr>
          <w:rFonts w:ascii="Century Gothic" w:hAnsi="Century Gothic" w:cs="Calibri"/>
          <w:sz w:val="24"/>
          <w:szCs w:val="24"/>
        </w:rPr>
        <w:t xml:space="preserve"> de la población, sin que esto sea discriminatorio o excluyente para las otras personas. </w:t>
      </w:r>
    </w:p>
    <w:p w14:paraId="30D45AC1" w14:textId="75791D33" w:rsidR="00FD5F15" w:rsidRDefault="00FD5F15" w:rsidP="00FD5F15">
      <w:pPr>
        <w:spacing w:after="0" w:line="360" w:lineRule="auto"/>
        <w:jc w:val="both"/>
        <w:rPr>
          <w:rFonts w:ascii="Century Gothic" w:hAnsi="Century Gothic" w:cs="Calibri"/>
          <w:sz w:val="24"/>
          <w:szCs w:val="24"/>
        </w:rPr>
      </w:pPr>
    </w:p>
    <w:p w14:paraId="47FD793C" w14:textId="77777777" w:rsidR="00FC1449" w:rsidRDefault="00FC1449" w:rsidP="00FC1449">
      <w:pPr>
        <w:spacing w:after="0" w:line="360" w:lineRule="auto"/>
        <w:jc w:val="both"/>
        <w:rPr>
          <w:rFonts w:ascii="Century Gothic" w:hAnsi="Century Gothic" w:cs="Calibri"/>
          <w:sz w:val="24"/>
          <w:szCs w:val="24"/>
        </w:rPr>
      </w:pPr>
      <w:r w:rsidRPr="001F6636">
        <w:rPr>
          <w:rFonts w:ascii="Century Gothic" w:hAnsi="Century Gothic" w:cs="Calibri"/>
          <w:sz w:val="24"/>
          <w:szCs w:val="24"/>
        </w:rPr>
        <w:t xml:space="preserve">Esta misma línea de apoyo preferencial la observamos en la Ley de Vivienda, que regula la materia en nuestro país, su artículo </w:t>
      </w:r>
      <w:r>
        <w:rPr>
          <w:rFonts w:ascii="Century Gothic" w:hAnsi="Century Gothic" w:cs="Calibri"/>
          <w:sz w:val="24"/>
          <w:szCs w:val="24"/>
        </w:rPr>
        <w:t>87 e</w:t>
      </w:r>
      <w:r w:rsidRPr="001F6636">
        <w:rPr>
          <w:rFonts w:ascii="Century Gothic" w:hAnsi="Century Gothic" w:cs="Calibri"/>
          <w:sz w:val="24"/>
          <w:szCs w:val="24"/>
        </w:rPr>
        <w:t xml:space="preserve">stablece: </w:t>
      </w:r>
      <w:r>
        <w:rPr>
          <w:rFonts w:ascii="Century Gothic" w:hAnsi="Century Gothic" w:cs="Calibri"/>
          <w:sz w:val="24"/>
          <w:szCs w:val="24"/>
        </w:rPr>
        <w:t xml:space="preserve"> </w:t>
      </w:r>
    </w:p>
    <w:p w14:paraId="42621647" w14:textId="77777777" w:rsidR="00FC1449" w:rsidRDefault="00FC1449" w:rsidP="00FD5F15">
      <w:pPr>
        <w:spacing w:after="0" w:line="360" w:lineRule="auto"/>
        <w:jc w:val="both"/>
        <w:rPr>
          <w:rFonts w:ascii="Century Gothic" w:hAnsi="Century Gothic" w:cs="Calibri"/>
          <w:sz w:val="24"/>
          <w:szCs w:val="24"/>
        </w:rPr>
      </w:pPr>
    </w:p>
    <w:p w14:paraId="6E9E3AB2" w14:textId="77777777" w:rsidR="00FC1449" w:rsidRDefault="00FC1449" w:rsidP="00FC1449">
      <w:pPr>
        <w:spacing w:after="0" w:line="360" w:lineRule="auto"/>
        <w:ind w:left="708"/>
        <w:jc w:val="both"/>
        <w:rPr>
          <w:rFonts w:ascii="Century Gothic" w:hAnsi="Century Gothic" w:cs="Calibri"/>
          <w:i/>
          <w:sz w:val="24"/>
          <w:szCs w:val="24"/>
        </w:rPr>
      </w:pPr>
      <w:r w:rsidRPr="00CF5208">
        <w:rPr>
          <w:rFonts w:ascii="Century Gothic" w:hAnsi="Century Gothic" w:cs="Calibri"/>
          <w:i/>
          <w:sz w:val="24"/>
          <w:szCs w:val="24"/>
        </w:rPr>
        <w:t>“Las políticas y programas dirigidos al estímulo y apoyo de la producción social de vivienda … deberán:</w:t>
      </w:r>
    </w:p>
    <w:p w14:paraId="473EB01B" w14:textId="77777777" w:rsidR="00FC1449" w:rsidRDefault="00FC1449" w:rsidP="00FC1449">
      <w:pPr>
        <w:spacing w:after="0" w:line="360" w:lineRule="auto"/>
        <w:ind w:left="708"/>
        <w:jc w:val="both"/>
        <w:rPr>
          <w:rFonts w:ascii="Century Gothic" w:hAnsi="Century Gothic" w:cs="Calibri"/>
          <w:i/>
          <w:sz w:val="24"/>
          <w:szCs w:val="24"/>
        </w:rPr>
      </w:pPr>
      <w:r w:rsidRPr="00CF5208">
        <w:rPr>
          <w:rFonts w:ascii="Century Gothic" w:hAnsi="Century Gothic" w:cs="Calibri"/>
          <w:i/>
          <w:sz w:val="24"/>
          <w:szCs w:val="24"/>
        </w:rPr>
        <w:lastRenderedPageBreak/>
        <w:t>V. Focalizar preferentemente a la mujer sostén de la familia, las acciones de fomento y apoyo, otorgándoles el poder de decisión con relación al ahorro, el crédito y el subsidio.”</w:t>
      </w:r>
    </w:p>
    <w:p w14:paraId="4AF6D5F2" w14:textId="77777777" w:rsidR="00FC1449" w:rsidRDefault="00FC1449" w:rsidP="00FC1449">
      <w:pPr>
        <w:spacing w:after="0" w:line="360" w:lineRule="auto"/>
        <w:jc w:val="both"/>
        <w:rPr>
          <w:rFonts w:ascii="Century Gothic" w:hAnsi="Century Gothic" w:cs="Calibri"/>
          <w:i/>
          <w:sz w:val="24"/>
          <w:szCs w:val="24"/>
        </w:rPr>
      </w:pPr>
    </w:p>
    <w:p w14:paraId="7A7A9275" w14:textId="19A06BD1" w:rsidR="00FC1449" w:rsidRPr="00FC1449" w:rsidRDefault="00FC1449" w:rsidP="00FC1449">
      <w:pPr>
        <w:spacing w:after="0" w:line="360" w:lineRule="auto"/>
        <w:jc w:val="both"/>
        <w:rPr>
          <w:rFonts w:ascii="Century Gothic" w:hAnsi="Century Gothic" w:cs="Calibri"/>
          <w:i/>
          <w:iCs/>
          <w:sz w:val="24"/>
          <w:szCs w:val="24"/>
        </w:rPr>
      </w:pPr>
      <w:r>
        <w:rPr>
          <w:rFonts w:ascii="Century Gothic" w:hAnsi="Century Gothic" w:cs="Calibri"/>
          <w:sz w:val="24"/>
          <w:szCs w:val="24"/>
        </w:rPr>
        <w:t xml:space="preserve">Por lo que corresponde a nuestro ordenamiento estatal, </w:t>
      </w:r>
      <w:r w:rsidRPr="00FC1449">
        <w:rPr>
          <w:rFonts w:ascii="Century Gothic" w:hAnsi="Century Gothic" w:cs="Calibri"/>
          <w:b/>
          <w:bCs/>
          <w:sz w:val="24"/>
          <w:szCs w:val="24"/>
        </w:rPr>
        <w:t>la Ley de Vivienda del Estado de Chihuahua</w:t>
      </w:r>
      <w:r>
        <w:rPr>
          <w:rFonts w:ascii="Century Gothic" w:hAnsi="Century Gothic" w:cs="Calibri"/>
          <w:sz w:val="24"/>
          <w:szCs w:val="24"/>
        </w:rPr>
        <w:t>,</w:t>
      </w:r>
      <w:r>
        <w:rPr>
          <w:rStyle w:val="Refdenotaalpie"/>
          <w:rFonts w:ascii="Century Gothic" w:hAnsi="Century Gothic" w:cs="Calibri"/>
          <w:sz w:val="24"/>
          <w:szCs w:val="24"/>
        </w:rPr>
        <w:footnoteReference w:id="13"/>
      </w:r>
      <w:r>
        <w:rPr>
          <w:rFonts w:ascii="Century Gothic" w:hAnsi="Century Gothic" w:cs="Calibri"/>
          <w:sz w:val="24"/>
          <w:szCs w:val="24"/>
        </w:rPr>
        <w:t xml:space="preserve"> a fin de garantizar el derecho a la vivienda, consagrado en la Constitución federal, establece en su artículo 47 que </w:t>
      </w:r>
      <w:r w:rsidRPr="00FC1449">
        <w:rPr>
          <w:rFonts w:ascii="Century Gothic" w:hAnsi="Century Gothic" w:cs="Calibri"/>
          <w:i/>
          <w:iCs/>
          <w:sz w:val="24"/>
          <w:szCs w:val="24"/>
        </w:rPr>
        <w:t xml:space="preserve">“el Estado tiene la responsabilidad de apoyar preferentemente a la población en situación de pobreza, riesgo, o vulnerabilidad, así como a las </w:t>
      </w:r>
      <w:r w:rsidRPr="00324A1E">
        <w:rPr>
          <w:rFonts w:ascii="Century Gothic" w:hAnsi="Century Gothic" w:cs="Calibri"/>
          <w:b/>
          <w:bCs/>
          <w:i/>
          <w:iCs/>
          <w:sz w:val="24"/>
          <w:szCs w:val="24"/>
        </w:rPr>
        <w:t>mujeres sostén de la familia</w:t>
      </w:r>
      <w:r w:rsidRPr="00FC1449">
        <w:rPr>
          <w:rFonts w:ascii="Century Gothic" w:hAnsi="Century Gothic" w:cs="Calibri"/>
          <w:i/>
          <w:iCs/>
          <w:sz w:val="24"/>
          <w:szCs w:val="24"/>
        </w:rPr>
        <w:t>;</w:t>
      </w:r>
      <w:r w:rsidR="00324A1E">
        <w:rPr>
          <w:rStyle w:val="Refdenotaalpie"/>
          <w:rFonts w:ascii="Century Gothic" w:hAnsi="Century Gothic" w:cs="Calibri"/>
          <w:i/>
          <w:iCs/>
          <w:sz w:val="24"/>
          <w:szCs w:val="24"/>
        </w:rPr>
        <w:footnoteReference w:id="14"/>
      </w:r>
      <w:r w:rsidRPr="00FC1449">
        <w:rPr>
          <w:rFonts w:ascii="Century Gothic" w:hAnsi="Century Gothic" w:cs="Calibri"/>
          <w:i/>
          <w:iCs/>
          <w:sz w:val="24"/>
          <w:szCs w:val="24"/>
        </w:rPr>
        <w:t xml:space="preserve"> por lo que diseñará, definirá y operará un conjunto de mecanismos y acciones para captar y destinar recursos presupuestales, ahorros, subsidios, financiamientos y otras aportaciones para los programas de vivienda que respondan a las necesidades de vivienda de los distintos sectores de la población.”</w:t>
      </w:r>
    </w:p>
    <w:p w14:paraId="0BDDD9B8" w14:textId="77777777" w:rsidR="009F4668" w:rsidRDefault="009F4668" w:rsidP="00444EE3">
      <w:pPr>
        <w:spacing w:after="0" w:line="360" w:lineRule="auto"/>
        <w:jc w:val="both"/>
        <w:rPr>
          <w:rFonts w:ascii="Century Gothic" w:hAnsi="Century Gothic" w:cs="Calibri"/>
          <w:bCs/>
          <w:sz w:val="24"/>
          <w:szCs w:val="24"/>
        </w:rPr>
      </w:pPr>
    </w:p>
    <w:p w14:paraId="0DC3713C" w14:textId="70D027F1" w:rsidR="00246787" w:rsidRPr="00C126AA" w:rsidRDefault="00B211A2" w:rsidP="00C126AA">
      <w:pPr>
        <w:spacing w:after="0" w:line="360" w:lineRule="auto"/>
        <w:jc w:val="both"/>
        <w:rPr>
          <w:rFonts w:ascii="Century Gothic" w:eastAsia="Arial" w:hAnsi="Century Gothic" w:cs="Arial"/>
          <w:i/>
          <w:iCs/>
          <w:sz w:val="24"/>
          <w:szCs w:val="24"/>
        </w:rPr>
      </w:pPr>
      <w:r w:rsidRPr="00B211A2">
        <w:rPr>
          <w:rFonts w:ascii="Century Gothic" w:hAnsi="Century Gothic" w:cs="Calibri"/>
          <w:b/>
          <w:sz w:val="24"/>
          <w:szCs w:val="24"/>
        </w:rPr>
        <w:t>V.-</w:t>
      </w:r>
      <w:r>
        <w:rPr>
          <w:rFonts w:ascii="Century Gothic" w:hAnsi="Century Gothic" w:cs="Calibri"/>
          <w:bCs/>
          <w:sz w:val="24"/>
          <w:szCs w:val="24"/>
        </w:rPr>
        <w:t xml:space="preserve"> Atendiendo a lo anterior, conviene </w:t>
      </w:r>
      <w:r w:rsidRPr="007B415C">
        <w:rPr>
          <w:rFonts w:ascii="Century Gothic" w:eastAsia="Arial" w:hAnsi="Century Gothic" w:cs="Arial"/>
          <w:sz w:val="24"/>
          <w:szCs w:val="24"/>
        </w:rPr>
        <w:t xml:space="preserve">concretar la propuesta de reforma que nos atañe, </w:t>
      </w:r>
      <w:r>
        <w:rPr>
          <w:rFonts w:ascii="Century Gothic" w:eastAsia="Arial" w:hAnsi="Century Gothic" w:cs="Arial"/>
          <w:sz w:val="24"/>
          <w:szCs w:val="24"/>
        </w:rPr>
        <w:t xml:space="preserve">consistente </w:t>
      </w:r>
      <w:r w:rsidRPr="007B415C">
        <w:rPr>
          <w:rFonts w:ascii="Century Gothic" w:eastAsia="Arial" w:hAnsi="Century Gothic" w:cs="Arial"/>
          <w:sz w:val="24"/>
          <w:szCs w:val="24"/>
        </w:rPr>
        <w:t>en</w:t>
      </w:r>
      <w:r>
        <w:rPr>
          <w:rFonts w:ascii="Century Gothic" w:eastAsia="Arial" w:hAnsi="Century Gothic" w:cs="Arial"/>
          <w:sz w:val="24"/>
          <w:szCs w:val="24"/>
        </w:rPr>
        <w:t xml:space="preserve"> </w:t>
      </w:r>
      <w:r w:rsidR="00246787">
        <w:rPr>
          <w:rFonts w:ascii="Century Gothic" w:eastAsia="Arial" w:hAnsi="Century Gothic" w:cs="Arial"/>
          <w:sz w:val="24"/>
          <w:szCs w:val="24"/>
        </w:rPr>
        <w:t>reformar</w:t>
      </w:r>
      <w:r>
        <w:rPr>
          <w:rFonts w:ascii="Century Gothic" w:eastAsia="Arial" w:hAnsi="Century Gothic" w:cs="Arial"/>
          <w:sz w:val="24"/>
          <w:szCs w:val="24"/>
        </w:rPr>
        <w:t xml:space="preserve"> la </w:t>
      </w:r>
      <w:r w:rsidRPr="00B211A2">
        <w:rPr>
          <w:rFonts w:ascii="Century Gothic" w:eastAsia="Arial" w:hAnsi="Century Gothic" w:cs="Arial"/>
          <w:b/>
          <w:bCs/>
          <w:sz w:val="24"/>
          <w:szCs w:val="24"/>
        </w:rPr>
        <w:t xml:space="preserve">Ley </w:t>
      </w:r>
      <w:r w:rsidR="00FC1449">
        <w:rPr>
          <w:rFonts w:ascii="Century Gothic" w:eastAsia="Arial" w:hAnsi="Century Gothic" w:cs="Arial"/>
          <w:b/>
          <w:bCs/>
          <w:sz w:val="24"/>
          <w:szCs w:val="24"/>
        </w:rPr>
        <w:t>Estatal del Derecho de las Mujeres a una Vida Libre de Violencia</w:t>
      </w:r>
      <w:r>
        <w:rPr>
          <w:rFonts w:ascii="Century Gothic" w:eastAsia="Arial" w:hAnsi="Century Gothic" w:cs="Arial"/>
          <w:sz w:val="24"/>
          <w:szCs w:val="24"/>
        </w:rPr>
        <w:t>,</w:t>
      </w:r>
      <w:r w:rsidR="00427F08">
        <w:rPr>
          <w:rStyle w:val="Refdenotaalpie"/>
          <w:rFonts w:ascii="Century Gothic" w:eastAsia="Arial" w:hAnsi="Century Gothic" w:cs="Arial"/>
          <w:sz w:val="24"/>
          <w:szCs w:val="24"/>
        </w:rPr>
        <w:footnoteReference w:id="15"/>
      </w:r>
      <w:r>
        <w:rPr>
          <w:rFonts w:ascii="Century Gothic" w:eastAsia="Arial" w:hAnsi="Century Gothic" w:cs="Arial"/>
          <w:sz w:val="24"/>
          <w:szCs w:val="24"/>
        </w:rPr>
        <w:t xml:space="preserve"> </w:t>
      </w:r>
      <w:r w:rsidR="00C126AA">
        <w:rPr>
          <w:rFonts w:ascii="Century Gothic" w:eastAsia="Arial" w:hAnsi="Century Gothic" w:cs="Arial"/>
          <w:sz w:val="24"/>
          <w:szCs w:val="24"/>
        </w:rPr>
        <w:t xml:space="preserve">a fin de que </w:t>
      </w:r>
      <w:r w:rsidR="00C126AA" w:rsidRPr="00C126AA">
        <w:rPr>
          <w:rFonts w:ascii="Century Gothic" w:eastAsia="Arial" w:hAnsi="Century Gothic" w:cs="Arial"/>
          <w:sz w:val="24"/>
          <w:szCs w:val="24"/>
        </w:rPr>
        <w:t xml:space="preserve">el Programa Integral para Garantizar el Derecho de las Mujeres a una Vida Libre de Violencia, contenga estrategias y acciones para: </w:t>
      </w:r>
      <w:r w:rsidR="00C126AA" w:rsidRPr="00C126AA">
        <w:rPr>
          <w:rFonts w:ascii="Century Gothic" w:eastAsia="Arial" w:hAnsi="Century Gothic" w:cs="Arial"/>
          <w:i/>
          <w:iCs/>
          <w:sz w:val="24"/>
          <w:szCs w:val="24"/>
        </w:rPr>
        <w:t xml:space="preserve">“Fomentar y facilitar, con base en su </w:t>
      </w:r>
      <w:r w:rsidR="00C126AA" w:rsidRPr="00C126AA">
        <w:rPr>
          <w:rFonts w:ascii="Century Gothic" w:eastAsia="Arial" w:hAnsi="Century Gothic" w:cs="Arial"/>
          <w:i/>
          <w:iCs/>
          <w:sz w:val="24"/>
          <w:szCs w:val="24"/>
        </w:rPr>
        <w:lastRenderedPageBreak/>
        <w:t>disponibilidad presupuestal, el acceso a las mujeres víctimas de violencia a programas o créditos accesibles para la adquisición o mejoramiento de su vivienda.”</w:t>
      </w:r>
    </w:p>
    <w:p w14:paraId="3CAF5628" w14:textId="77777777" w:rsidR="003856B4" w:rsidRDefault="003856B4" w:rsidP="003856B4">
      <w:pPr>
        <w:spacing w:after="0" w:line="360" w:lineRule="auto"/>
        <w:jc w:val="both"/>
        <w:rPr>
          <w:rFonts w:ascii="Century Gothic" w:eastAsia="Arial" w:hAnsi="Century Gothic" w:cs="Arial"/>
          <w:sz w:val="24"/>
          <w:szCs w:val="24"/>
        </w:rPr>
      </w:pPr>
    </w:p>
    <w:p w14:paraId="581F57F3" w14:textId="51840EED" w:rsidR="00444EE3" w:rsidRDefault="00E44683" w:rsidP="00384020">
      <w:pPr>
        <w:spacing w:after="0" w:line="360" w:lineRule="auto"/>
        <w:jc w:val="both"/>
        <w:rPr>
          <w:rFonts w:ascii="Century Gothic" w:eastAsia="Arial" w:hAnsi="Century Gothic" w:cs="Arial"/>
          <w:sz w:val="24"/>
          <w:szCs w:val="24"/>
        </w:rPr>
      </w:pPr>
      <w:r>
        <w:rPr>
          <w:rFonts w:ascii="Century Gothic" w:eastAsia="Arial" w:hAnsi="Century Gothic" w:cs="Arial"/>
          <w:sz w:val="24"/>
          <w:szCs w:val="24"/>
        </w:rPr>
        <w:t xml:space="preserve">Sobre </w:t>
      </w:r>
      <w:r w:rsidR="00C126AA">
        <w:rPr>
          <w:rFonts w:ascii="Century Gothic" w:eastAsia="Arial" w:hAnsi="Century Gothic" w:cs="Arial"/>
          <w:sz w:val="24"/>
          <w:szCs w:val="24"/>
        </w:rPr>
        <w:t>el</w:t>
      </w:r>
      <w:r>
        <w:rPr>
          <w:rFonts w:ascii="Century Gothic" w:eastAsia="Arial" w:hAnsi="Century Gothic" w:cs="Arial"/>
          <w:sz w:val="24"/>
          <w:szCs w:val="24"/>
        </w:rPr>
        <w:t xml:space="preserve"> particular</w:t>
      </w:r>
      <w:r w:rsidR="003856B4">
        <w:rPr>
          <w:rFonts w:ascii="Century Gothic" w:eastAsia="Arial" w:hAnsi="Century Gothic" w:cs="Arial"/>
          <w:sz w:val="24"/>
          <w:szCs w:val="24"/>
        </w:rPr>
        <w:t>, e</w:t>
      </w:r>
      <w:r w:rsidR="00B211A2">
        <w:rPr>
          <w:rFonts w:ascii="Century Gothic" w:eastAsia="Arial" w:hAnsi="Century Gothic" w:cs="Arial"/>
          <w:sz w:val="24"/>
          <w:szCs w:val="24"/>
        </w:rPr>
        <w:t xml:space="preserve">s pertinente iniciar </w:t>
      </w:r>
      <w:r>
        <w:rPr>
          <w:rFonts w:ascii="Century Gothic" w:eastAsia="Arial" w:hAnsi="Century Gothic" w:cs="Arial"/>
          <w:sz w:val="24"/>
          <w:szCs w:val="24"/>
        </w:rPr>
        <w:t>su</w:t>
      </w:r>
      <w:r w:rsidR="00B211A2">
        <w:rPr>
          <w:rFonts w:ascii="Century Gothic" w:eastAsia="Arial" w:hAnsi="Century Gothic" w:cs="Arial"/>
          <w:sz w:val="24"/>
          <w:szCs w:val="24"/>
        </w:rPr>
        <w:t xml:space="preserve"> análisis, atendiendo a</w:t>
      </w:r>
      <w:r w:rsidR="00384020">
        <w:rPr>
          <w:rFonts w:ascii="Century Gothic" w:eastAsia="Arial" w:hAnsi="Century Gothic" w:cs="Arial"/>
          <w:sz w:val="24"/>
          <w:szCs w:val="24"/>
        </w:rPr>
        <w:t xml:space="preserve">l contenido del propio Programa, el cual abarca: los </w:t>
      </w:r>
      <w:r w:rsidR="00384020" w:rsidRPr="00384020">
        <w:rPr>
          <w:rFonts w:ascii="Century Gothic" w:eastAsia="Arial" w:hAnsi="Century Gothic" w:cs="Arial"/>
          <w:sz w:val="24"/>
          <w:szCs w:val="24"/>
        </w:rPr>
        <w:t>objetivos, estrategias, líneas</w:t>
      </w:r>
      <w:r w:rsidR="00384020">
        <w:rPr>
          <w:rFonts w:ascii="Century Gothic" w:eastAsia="Arial" w:hAnsi="Century Gothic" w:cs="Arial"/>
          <w:sz w:val="24"/>
          <w:szCs w:val="24"/>
        </w:rPr>
        <w:t xml:space="preserve"> </w:t>
      </w:r>
      <w:r w:rsidR="00384020" w:rsidRPr="00384020">
        <w:rPr>
          <w:rFonts w:ascii="Century Gothic" w:eastAsia="Arial" w:hAnsi="Century Gothic" w:cs="Arial"/>
          <w:sz w:val="24"/>
          <w:szCs w:val="24"/>
        </w:rPr>
        <w:t>de acción, recursos y responsabilidades de las y los participantes en el Sistema, para el cumplimiento de</w:t>
      </w:r>
      <w:r w:rsidR="00384020">
        <w:rPr>
          <w:rFonts w:ascii="Century Gothic" w:eastAsia="Arial" w:hAnsi="Century Gothic" w:cs="Arial"/>
          <w:sz w:val="24"/>
          <w:szCs w:val="24"/>
        </w:rPr>
        <w:t xml:space="preserve"> </w:t>
      </w:r>
      <w:r w:rsidR="00384020" w:rsidRPr="00384020">
        <w:rPr>
          <w:rFonts w:ascii="Century Gothic" w:eastAsia="Arial" w:hAnsi="Century Gothic" w:cs="Arial"/>
          <w:sz w:val="24"/>
          <w:szCs w:val="24"/>
        </w:rPr>
        <w:t xml:space="preserve">las metas que en él se establezcan. </w:t>
      </w:r>
      <w:r w:rsidR="00384020" w:rsidRPr="00384020">
        <w:rPr>
          <w:rFonts w:ascii="Century Gothic" w:eastAsia="Arial" w:hAnsi="Century Gothic" w:cs="Arial"/>
          <w:sz w:val="24"/>
          <w:szCs w:val="24"/>
        </w:rPr>
        <w:cr/>
      </w:r>
    </w:p>
    <w:p w14:paraId="64697A33" w14:textId="76F147A5" w:rsidR="00384020" w:rsidRDefault="00384020" w:rsidP="00384020">
      <w:pPr>
        <w:spacing w:after="0" w:line="360" w:lineRule="auto"/>
        <w:jc w:val="both"/>
        <w:rPr>
          <w:rFonts w:ascii="Century Gothic" w:eastAsia="Arial" w:hAnsi="Century Gothic" w:cs="Arial"/>
          <w:sz w:val="24"/>
          <w:szCs w:val="24"/>
        </w:rPr>
      </w:pPr>
      <w:r>
        <w:rPr>
          <w:rFonts w:ascii="Century Gothic" w:eastAsia="Arial" w:hAnsi="Century Gothic" w:cs="Arial"/>
          <w:sz w:val="24"/>
          <w:szCs w:val="24"/>
        </w:rPr>
        <w:t xml:space="preserve">Ahora bien, las dependencias integrantes del Sistema Estatal para Garantizar el Derecho de las Mujeres a una Vida Libre de </w:t>
      </w:r>
      <w:r w:rsidR="00E107D5">
        <w:rPr>
          <w:rFonts w:ascii="Century Gothic" w:eastAsia="Arial" w:hAnsi="Century Gothic" w:cs="Arial"/>
          <w:sz w:val="24"/>
          <w:szCs w:val="24"/>
        </w:rPr>
        <w:t xml:space="preserve">Violencia </w:t>
      </w:r>
      <w:r>
        <w:rPr>
          <w:rFonts w:ascii="Century Gothic" w:eastAsia="Arial" w:hAnsi="Century Gothic" w:cs="Arial"/>
          <w:sz w:val="24"/>
          <w:szCs w:val="24"/>
        </w:rPr>
        <w:t>son</w:t>
      </w:r>
      <w:r w:rsidR="00E107D5">
        <w:rPr>
          <w:rFonts w:ascii="Century Gothic" w:eastAsia="Arial" w:hAnsi="Century Gothic" w:cs="Arial"/>
          <w:sz w:val="24"/>
          <w:szCs w:val="24"/>
        </w:rPr>
        <w:t>,</w:t>
      </w:r>
      <w:r>
        <w:rPr>
          <w:rFonts w:ascii="Century Gothic" w:eastAsia="Arial" w:hAnsi="Century Gothic" w:cs="Arial"/>
          <w:sz w:val="24"/>
          <w:szCs w:val="24"/>
        </w:rPr>
        <w:t xml:space="preserve"> l</w:t>
      </w:r>
      <w:r w:rsidRPr="00384020">
        <w:rPr>
          <w:rFonts w:ascii="Century Gothic" w:eastAsia="Arial" w:hAnsi="Century Gothic" w:cs="Arial"/>
          <w:sz w:val="24"/>
          <w:szCs w:val="24"/>
        </w:rPr>
        <w:t xml:space="preserve">a Secretaría de Desarrollo Humano y Bien Común, </w:t>
      </w:r>
      <w:r>
        <w:rPr>
          <w:rFonts w:ascii="Century Gothic" w:eastAsia="Arial" w:hAnsi="Century Gothic" w:cs="Arial"/>
          <w:sz w:val="24"/>
          <w:szCs w:val="24"/>
        </w:rPr>
        <w:t>e</w:t>
      </w:r>
      <w:r w:rsidRPr="00384020">
        <w:rPr>
          <w:rFonts w:ascii="Century Gothic" w:eastAsia="Arial" w:hAnsi="Century Gothic" w:cs="Arial"/>
          <w:sz w:val="24"/>
          <w:szCs w:val="24"/>
        </w:rPr>
        <w:t xml:space="preserve">l Instituto Chihuahuense de las Mujeres, </w:t>
      </w:r>
      <w:r>
        <w:rPr>
          <w:rFonts w:ascii="Century Gothic" w:eastAsia="Arial" w:hAnsi="Century Gothic" w:cs="Arial"/>
          <w:sz w:val="24"/>
          <w:szCs w:val="24"/>
        </w:rPr>
        <w:t>l</w:t>
      </w:r>
      <w:r w:rsidRPr="00384020">
        <w:rPr>
          <w:rFonts w:ascii="Century Gothic" w:eastAsia="Arial" w:hAnsi="Century Gothic" w:cs="Arial"/>
          <w:sz w:val="24"/>
          <w:szCs w:val="24"/>
        </w:rPr>
        <w:t xml:space="preserve">a Fiscalía General del Estado, la Secretaría de Cultura, </w:t>
      </w:r>
      <w:r>
        <w:rPr>
          <w:rFonts w:ascii="Century Gothic" w:eastAsia="Arial" w:hAnsi="Century Gothic" w:cs="Arial"/>
          <w:sz w:val="24"/>
          <w:szCs w:val="24"/>
        </w:rPr>
        <w:t xml:space="preserve">la </w:t>
      </w:r>
      <w:r w:rsidRPr="00384020">
        <w:rPr>
          <w:rFonts w:ascii="Century Gothic" w:eastAsia="Arial" w:hAnsi="Century Gothic" w:cs="Arial"/>
          <w:sz w:val="24"/>
          <w:szCs w:val="24"/>
        </w:rPr>
        <w:t>Secretaría de</w:t>
      </w:r>
      <w:r>
        <w:rPr>
          <w:rFonts w:ascii="Century Gothic" w:eastAsia="Arial" w:hAnsi="Century Gothic" w:cs="Arial"/>
          <w:sz w:val="24"/>
          <w:szCs w:val="24"/>
        </w:rPr>
        <w:t xml:space="preserve"> </w:t>
      </w:r>
      <w:r w:rsidRPr="00384020">
        <w:rPr>
          <w:rFonts w:ascii="Century Gothic" w:eastAsia="Arial" w:hAnsi="Century Gothic" w:cs="Arial"/>
          <w:sz w:val="24"/>
          <w:szCs w:val="24"/>
        </w:rPr>
        <w:t>Educación y Deporte</w:t>
      </w:r>
      <w:r w:rsidR="00397655">
        <w:rPr>
          <w:rFonts w:ascii="Century Gothic" w:eastAsia="Arial" w:hAnsi="Century Gothic" w:cs="Arial"/>
          <w:sz w:val="24"/>
          <w:szCs w:val="24"/>
        </w:rPr>
        <w:t>,</w:t>
      </w:r>
      <w:r w:rsidRPr="00384020">
        <w:rPr>
          <w:rFonts w:ascii="Century Gothic" w:eastAsia="Arial" w:hAnsi="Century Gothic" w:cs="Arial"/>
          <w:sz w:val="24"/>
          <w:szCs w:val="24"/>
        </w:rPr>
        <w:t xml:space="preserve"> </w:t>
      </w:r>
      <w:r w:rsidR="00397655">
        <w:rPr>
          <w:rFonts w:ascii="Century Gothic" w:eastAsia="Arial" w:hAnsi="Century Gothic" w:cs="Arial"/>
          <w:sz w:val="24"/>
          <w:szCs w:val="24"/>
        </w:rPr>
        <w:t xml:space="preserve">la Secretaría </w:t>
      </w:r>
      <w:r w:rsidRPr="00384020">
        <w:rPr>
          <w:rFonts w:ascii="Century Gothic" w:eastAsia="Arial" w:hAnsi="Century Gothic" w:cs="Arial"/>
          <w:sz w:val="24"/>
          <w:szCs w:val="24"/>
        </w:rPr>
        <w:t>General de Gobierno</w:t>
      </w:r>
      <w:r w:rsidR="00397655">
        <w:rPr>
          <w:rFonts w:ascii="Century Gothic" w:eastAsia="Arial" w:hAnsi="Century Gothic" w:cs="Arial"/>
          <w:sz w:val="24"/>
          <w:szCs w:val="24"/>
        </w:rPr>
        <w:t xml:space="preserve">, la Dirección General del </w:t>
      </w:r>
      <w:r w:rsidR="00BB0F40">
        <w:rPr>
          <w:rFonts w:ascii="Century Gothic" w:eastAsia="Arial" w:hAnsi="Century Gothic" w:cs="Arial"/>
          <w:sz w:val="24"/>
          <w:szCs w:val="24"/>
        </w:rPr>
        <w:t>Desarrollo</w:t>
      </w:r>
      <w:r w:rsidR="00397655">
        <w:rPr>
          <w:rFonts w:ascii="Century Gothic" w:eastAsia="Arial" w:hAnsi="Century Gothic" w:cs="Arial"/>
          <w:sz w:val="24"/>
          <w:szCs w:val="24"/>
        </w:rPr>
        <w:t xml:space="preserve"> Integral de las Familias, el Instituto Estatal Electoral y la Comisión Estatal para los Pueblos Indígenas; de lo que concluimos que las autoridades en materia de vivienda como lo son la Secretaría de Desarrollo Urbano y Ecología, así como la Comisión Estatal de Vivienda, Suelo e Infraestructura, no conforman dicho Sistema</w:t>
      </w:r>
    </w:p>
    <w:p w14:paraId="4ADF5833" w14:textId="3C365A67" w:rsidR="00E44683" w:rsidRDefault="00E44683" w:rsidP="00E44683">
      <w:pPr>
        <w:spacing w:after="0" w:line="360" w:lineRule="auto"/>
        <w:jc w:val="both"/>
        <w:rPr>
          <w:rFonts w:ascii="Century Gothic" w:eastAsia="Arial" w:hAnsi="Century Gothic" w:cs="Arial"/>
          <w:sz w:val="24"/>
          <w:szCs w:val="24"/>
        </w:rPr>
      </w:pPr>
    </w:p>
    <w:p w14:paraId="0C36ECE0" w14:textId="7202D1E8" w:rsidR="000458AA" w:rsidRPr="00427F08" w:rsidRDefault="000458AA" w:rsidP="00427F08">
      <w:pPr>
        <w:spacing w:after="0" w:line="360" w:lineRule="auto"/>
        <w:jc w:val="both"/>
        <w:rPr>
          <w:rFonts w:ascii="Century Gothic" w:eastAsia="Arial" w:hAnsi="Century Gothic" w:cs="Arial"/>
          <w:sz w:val="24"/>
          <w:szCs w:val="24"/>
        </w:rPr>
      </w:pPr>
      <w:r>
        <w:rPr>
          <w:rFonts w:ascii="Century Gothic" w:eastAsia="Arial" w:hAnsi="Century Gothic" w:cs="Arial"/>
          <w:sz w:val="24"/>
          <w:szCs w:val="24"/>
        </w:rPr>
        <w:t xml:space="preserve">En </w:t>
      </w:r>
      <w:r w:rsidR="00BB0F40">
        <w:rPr>
          <w:rFonts w:ascii="Century Gothic" w:eastAsia="Arial" w:hAnsi="Century Gothic" w:cs="Arial"/>
          <w:sz w:val="24"/>
          <w:szCs w:val="24"/>
        </w:rPr>
        <w:t xml:space="preserve">tal virtud, atendiendo a los objetivos de la ya mencionada </w:t>
      </w:r>
      <w:r w:rsidR="00BB0F40" w:rsidRPr="00427F08">
        <w:rPr>
          <w:rFonts w:ascii="Century Gothic" w:eastAsia="Arial" w:hAnsi="Century Gothic" w:cs="Arial"/>
          <w:b/>
          <w:bCs/>
          <w:sz w:val="24"/>
          <w:szCs w:val="24"/>
        </w:rPr>
        <w:t>Ley de Vivienda del Estado de Chihuahua</w:t>
      </w:r>
      <w:r w:rsidR="00BB0F40">
        <w:rPr>
          <w:rFonts w:ascii="Century Gothic" w:eastAsia="Arial" w:hAnsi="Century Gothic" w:cs="Arial"/>
          <w:sz w:val="24"/>
          <w:szCs w:val="24"/>
        </w:rPr>
        <w:t xml:space="preserve">, entre los que destacan: </w:t>
      </w:r>
      <w:r w:rsidR="00BB0F40" w:rsidRPr="00427F08">
        <w:rPr>
          <w:rFonts w:ascii="Century Gothic" w:eastAsia="Arial" w:hAnsi="Century Gothic" w:cs="Arial"/>
          <w:i/>
          <w:iCs/>
          <w:sz w:val="24"/>
          <w:szCs w:val="24"/>
        </w:rPr>
        <w:t>“Propiciar, regular y promover las acciones de los sectores público, privado y social, dirigidas</w:t>
      </w:r>
      <w:r w:rsidR="00427F08" w:rsidRPr="00427F08">
        <w:rPr>
          <w:rFonts w:ascii="Century Gothic" w:eastAsia="Arial" w:hAnsi="Century Gothic" w:cs="Arial"/>
          <w:i/>
          <w:iCs/>
          <w:sz w:val="24"/>
          <w:szCs w:val="24"/>
        </w:rPr>
        <w:t xml:space="preserve"> </w:t>
      </w:r>
      <w:r w:rsidR="00BB0F40" w:rsidRPr="00427F08">
        <w:rPr>
          <w:rFonts w:ascii="Century Gothic" w:eastAsia="Arial" w:hAnsi="Century Gothic" w:cs="Arial"/>
          <w:i/>
          <w:iCs/>
          <w:sz w:val="24"/>
          <w:szCs w:val="24"/>
        </w:rPr>
        <w:t xml:space="preserve">a garantizar el derecho a una vivienda adecuada, digna y </w:t>
      </w:r>
      <w:r w:rsidR="00BB0F40" w:rsidRPr="00427F08">
        <w:rPr>
          <w:rFonts w:ascii="Century Gothic" w:eastAsia="Arial" w:hAnsi="Century Gothic" w:cs="Arial"/>
          <w:i/>
          <w:iCs/>
          <w:sz w:val="24"/>
          <w:szCs w:val="24"/>
        </w:rPr>
        <w:lastRenderedPageBreak/>
        <w:t>decorosa para todas las familias</w:t>
      </w:r>
      <w:r w:rsidR="00427F08" w:rsidRPr="00427F08">
        <w:rPr>
          <w:rFonts w:ascii="Century Gothic" w:eastAsia="Arial" w:hAnsi="Century Gothic" w:cs="Arial"/>
          <w:i/>
          <w:iCs/>
          <w:sz w:val="24"/>
          <w:szCs w:val="24"/>
        </w:rPr>
        <w:t>”</w:t>
      </w:r>
      <w:r w:rsidR="00427F08">
        <w:rPr>
          <w:rFonts w:ascii="Century Gothic" w:eastAsia="Arial" w:hAnsi="Century Gothic" w:cs="Arial"/>
          <w:sz w:val="24"/>
          <w:szCs w:val="24"/>
        </w:rPr>
        <w:t xml:space="preserve"> y, </w:t>
      </w:r>
      <w:r w:rsidR="00427F08" w:rsidRPr="00427F08">
        <w:rPr>
          <w:rFonts w:ascii="Century Gothic" w:eastAsia="Arial" w:hAnsi="Century Gothic" w:cs="Arial"/>
          <w:i/>
          <w:iCs/>
          <w:sz w:val="24"/>
          <w:szCs w:val="24"/>
        </w:rPr>
        <w:t>“Establecer los criterios de protección y apoyo para la población en situación de pobreza, riesgo o vulnerabilidad, así como apoyo a la producción social de vivienda en el Estado.”</w:t>
      </w:r>
      <w:r w:rsidR="00427F08">
        <w:rPr>
          <w:rFonts w:ascii="Century Gothic" w:eastAsia="Arial" w:hAnsi="Century Gothic" w:cs="Arial"/>
          <w:i/>
          <w:iCs/>
          <w:sz w:val="24"/>
          <w:szCs w:val="24"/>
        </w:rPr>
        <w:t xml:space="preserve"> </w:t>
      </w:r>
      <w:r w:rsidR="00427F08">
        <w:rPr>
          <w:rFonts w:ascii="Century Gothic" w:eastAsia="Arial" w:hAnsi="Century Gothic" w:cs="Arial"/>
          <w:sz w:val="24"/>
          <w:szCs w:val="24"/>
        </w:rPr>
        <w:t>Es que observamos la viabilidad de reformar este ordenamiento, a fin de que las mujeres víctimas de violencia, sean sujetas al apoyo preferencial del Estado en</w:t>
      </w:r>
      <w:r w:rsidR="009B6EAF">
        <w:rPr>
          <w:rFonts w:ascii="Century Gothic" w:eastAsia="Arial" w:hAnsi="Century Gothic" w:cs="Arial"/>
          <w:sz w:val="24"/>
          <w:szCs w:val="24"/>
        </w:rPr>
        <w:t xml:space="preserve"> esta materia</w:t>
      </w:r>
      <w:r w:rsidR="00427F08">
        <w:rPr>
          <w:rFonts w:ascii="Century Gothic" w:eastAsia="Arial" w:hAnsi="Century Gothic" w:cs="Arial"/>
          <w:sz w:val="24"/>
          <w:szCs w:val="24"/>
        </w:rPr>
        <w:t xml:space="preserve">. </w:t>
      </w:r>
    </w:p>
    <w:p w14:paraId="0FEE22B1" w14:textId="77777777" w:rsidR="000458AA" w:rsidRDefault="000458AA" w:rsidP="00E44683">
      <w:pPr>
        <w:spacing w:after="0" w:line="360" w:lineRule="auto"/>
        <w:jc w:val="both"/>
        <w:rPr>
          <w:rFonts w:ascii="Century Gothic" w:eastAsia="Arial" w:hAnsi="Century Gothic" w:cs="Arial"/>
          <w:sz w:val="24"/>
          <w:szCs w:val="24"/>
        </w:rPr>
      </w:pPr>
    </w:p>
    <w:p w14:paraId="74FB74DE" w14:textId="713BB42E" w:rsidR="00244999" w:rsidRPr="009B6EAF" w:rsidRDefault="00427F08" w:rsidP="00E0531A">
      <w:pPr>
        <w:spacing w:after="0" w:line="360" w:lineRule="auto"/>
        <w:jc w:val="both"/>
        <w:rPr>
          <w:rFonts w:ascii="Century Gothic" w:hAnsi="Century Gothic"/>
          <w:sz w:val="24"/>
          <w:szCs w:val="24"/>
        </w:rPr>
      </w:pPr>
      <w:r>
        <w:rPr>
          <w:rFonts w:ascii="Century Gothic" w:hAnsi="Century Gothic"/>
          <w:sz w:val="24"/>
          <w:szCs w:val="24"/>
        </w:rPr>
        <w:t xml:space="preserve">Lo anterior, en virtud de </w:t>
      </w:r>
      <w:r w:rsidR="00397655" w:rsidRPr="00427F08">
        <w:rPr>
          <w:rFonts w:ascii="Century Gothic" w:hAnsi="Century Gothic"/>
          <w:sz w:val="24"/>
          <w:szCs w:val="24"/>
        </w:rPr>
        <w:t>lo</w:t>
      </w:r>
      <w:r>
        <w:rPr>
          <w:rFonts w:ascii="Century Gothic" w:hAnsi="Century Gothic"/>
          <w:sz w:val="24"/>
          <w:szCs w:val="24"/>
        </w:rPr>
        <w:t xml:space="preserve"> que</w:t>
      </w:r>
      <w:r w:rsidR="00397655" w:rsidRPr="00427F08">
        <w:rPr>
          <w:rFonts w:ascii="Century Gothic" w:hAnsi="Century Gothic"/>
          <w:sz w:val="24"/>
          <w:szCs w:val="24"/>
        </w:rPr>
        <w:t xml:space="preserve"> establece el preámbulo de la </w:t>
      </w:r>
      <w:r w:rsidR="00397655" w:rsidRPr="009B6EAF">
        <w:rPr>
          <w:rFonts w:ascii="Century Gothic" w:hAnsi="Century Gothic"/>
          <w:b/>
          <w:bCs/>
          <w:sz w:val="24"/>
          <w:szCs w:val="24"/>
        </w:rPr>
        <w:t>Convención Interamericana para Prevenir, Sancionar y Erradicar la Violencia contra la Mujer, “Convención de Belem do Pará”</w:t>
      </w:r>
      <w:r w:rsidR="00397655" w:rsidRPr="00427F08">
        <w:rPr>
          <w:rFonts w:ascii="Century Gothic" w:hAnsi="Century Gothic"/>
          <w:sz w:val="24"/>
          <w:szCs w:val="24"/>
        </w:rPr>
        <w:t>,</w:t>
      </w:r>
      <w:r w:rsidR="00397655" w:rsidRPr="00427F08">
        <w:rPr>
          <w:rStyle w:val="Refdenotaalpie"/>
          <w:rFonts w:ascii="Century Gothic" w:hAnsi="Century Gothic"/>
          <w:sz w:val="24"/>
          <w:szCs w:val="24"/>
        </w:rPr>
        <w:footnoteReference w:id="16"/>
      </w:r>
      <w:r w:rsidR="00397655" w:rsidRPr="00427F08">
        <w:rPr>
          <w:rFonts w:ascii="Century Gothic" w:hAnsi="Century Gothic"/>
          <w:sz w:val="24"/>
          <w:szCs w:val="24"/>
        </w:rPr>
        <w:t xml:space="preserve"> “</w:t>
      </w:r>
      <w:r w:rsidR="00397655" w:rsidRPr="00427F08">
        <w:rPr>
          <w:rFonts w:ascii="Century Gothic" w:hAnsi="Century Gothic"/>
          <w:i/>
          <w:iCs/>
          <w:sz w:val="24"/>
          <w:szCs w:val="24"/>
        </w:rPr>
        <w:t>la violencia contra la mujer constituye una violación de los derechos humanos y las libertades fundamentales y limita total o parcialmente a la mujer el reconocimiento, goce y ejercicio de tales derechos y libertades;</w:t>
      </w:r>
      <w:r w:rsidR="00397655" w:rsidRPr="00427F08">
        <w:rPr>
          <w:rFonts w:ascii="Century Gothic" w:hAnsi="Century Gothic"/>
          <w:sz w:val="24"/>
          <w:szCs w:val="24"/>
        </w:rPr>
        <w:t>” entre los que encontramos el derecho a la vivienda</w:t>
      </w:r>
      <w:r>
        <w:rPr>
          <w:rFonts w:ascii="Century Gothic" w:hAnsi="Century Gothic"/>
          <w:sz w:val="24"/>
          <w:szCs w:val="24"/>
        </w:rPr>
        <w:t xml:space="preserve"> adecuada para ella y su familia. </w:t>
      </w:r>
    </w:p>
    <w:p w14:paraId="18C377C3" w14:textId="77777777" w:rsidR="00CF3F63" w:rsidRPr="00D8160C" w:rsidRDefault="00CF3F63" w:rsidP="00797D4B">
      <w:pPr>
        <w:pStyle w:val="Normal1"/>
        <w:spacing w:line="360" w:lineRule="auto"/>
        <w:contextualSpacing/>
        <w:jc w:val="both"/>
        <w:rPr>
          <w:rFonts w:ascii="Century Gothic" w:eastAsia="Arial" w:hAnsi="Century Gothic" w:cs="Arial"/>
          <w:color w:val="auto"/>
          <w:szCs w:val="24"/>
          <w:lang w:val="es-MX"/>
        </w:rPr>
      </w:pPr>
    </w:p>
    <w:p w14:paraId="1E396C81" w14:textId="29B3312E" w:rsidR="00815EBD" w:rsidRDefault="00EF7A09" w:rsidP="009810C0">
      <w:pPr>
        <w:pStyle w:val="Normal1"/>
        <w:spacing w:line="360" w:lineRule="auto"/>
        <w:contextualSpacing/>
        <w:jc w:val="both"/>
        <w:rPr>
          <w:rFonts w:ascii="Century Gothic" w:eastAsia="Arial" w:hAnsi="Century Gothic" w:cs="Arial"/>
          <w:bCs/>
          <w:szCs w:val="24"/>
          <w:lang w:val="es-MX"/>
        </w:rPr>
      </w:pPr>
      <w:r>
        <w:rPr>
          <w:rFonts w:ascii="Century Gothic" w:eastAsia="Arial" w:hAnsi="Century Gothic" w:cs="Arial"/>
          <w:b/>
          <w:szCs w:val="24"/>
          <w:lang w:val="es-MX"/>
        </w:rPr>
        <w:t>V</w:t>
      </w:r>
      <w:r w:rsidR="00D41BBC">
        <w:rPr>
          <w:rFonts w:ascii="Century Gothic" w:eastAsia="Arial" w:hAnsi="Century Gothic" w:cs="Arial"/>
          <w:b/>
          <w:szCs w:val="24"/>
          <w:lang w:val="es-MX"/>
        </w:rPr>
        <w:t>I</w:t>
      </w:r>
      <w:r w:rsidR="00B8078A" w:rsidRPr="00B8078A">
        <w:rPr>
          <w:rFonts w:ascii="Century Gothic" w:eastAsia="Arial" w:hAnsi="Century Gothic" w:cs="Arial"/>
          <w:b/>
          <w:szCs w:val="24"/>
          <w:lang w:val="es-MX"/>
        </w:rPr>
        <w:t>.-</w:t>
      </w:r>
      <w:r w:rsidR="00B8078A">
        <w:rPr>
          <w:rFonts w:ascii="Century Gothic" w:eastAsia="Arial" w:hAnsi="Century Gothic" w:cs="Arial"/>
          <w:bCs/>
          <w:szCs w:val="24"/>
          <w:lang w:val="es-MX"/>
        </w:rPr>
        <w:t xml:space="preserve"> </w:t>
      </w:r>
      <w:r w:rsidR="00815EBD">
        <w:rPr>
          <w:rFonts w:ascii="Century Gothic" w:hAnsi="Century Gothic"/>
          <w:szCs w:val="24"/>
        </w:rPr>
        <w:t>En cuanto a la participación ciudadana a través del micrositio “Buzón Legislativo Ciudadano” de la página web oficial de este H. Congreso, hacemos constar que no se registró comentario alguno para efectos del presente Dictamen.</w:t>
      </w:r>
    </w:p>
    <w:p w14:paraId="6B768700" w14:textId="77777777" w:rsidR="00815EBD" w:rsidRDefault="00815EBD" w:rsidP="009810C0">
      <w:pPr>
        <w:pStyle w:val="Normal1"/>
        <w:spacing w:line="360" w:lineRule="auto"/>
        <w:contextualSpacing/>
        <w:jc w:val="both"/>
        <w:rPr>
          <w:rFonts w:ascii="Century Gothic" w:eastAsia="Arial" w:hAnsi="Century Gothic" w:cs="Arial"/>
          <w:bCs/>
          <w:szCs w:val="24"/>
          <w:lang w:val="es-MX"/>
        </w:rPr>
      </w:pPr>
    </w:p>
    <w:p w14:paraId="5C6CB3FD" w14:textId="1A7C2F24" w:rsidR="00815EBD" w:rsidRPr="00EF7A09" w:rsidRDefault="00815EBD" w:rsidP="00EF7A09">
      <w:pPr>
        <w:spacing w:after="0" w:line="360" w:lineRule="auto"/>
        <w:jc w:val="both"/>
        <w:rPr>
          <w:rFonts w:ascii="Century Gothic" w:hAnsi="Century Gothic" w:cs="Calibri"/>
          <w:sz w:val="24"/>
          <w:szCs w:val="24"/>
        </w:rPr>
      </w:pPr>
      <w:r w:rsidRPr="00EF7A09">
        <w:rPr>
          <w:rFonts w:ascii="Century Gothic" w:hAnsi="Century Gothic"/>
          <w:bCs/>
          <w:sz w:val="24"/>
          <w:szCs w:val="24"/>
        </w:rPr>
        <w:lastRenderedPageBreak/>
        <w:t>Por lo anteriormente expuesto,</w:t>
      </w:r>
      <w:r w:rsidRPr="00884D05">
        <w:rPr>
          <w:rFonts w:ascii="Century Gothic" w:hAnsi="Century Gothic"/>
          <w:bCs/>
          <w:szCs w:val="24"/>
        </w:rPr>
        <w:t xml:space="preserve"> </w:t>
      </w:r>
      <w:r w:rsidR="001830C9" w:rsidRPr="005F24AF">
        <w:rPr>
          <w:rFonts w:ascii="Century Gothic" w:hAnsi="Century Gothic" w:cs="Calibri"/>
          <w:sz w:val="24"/>
          <w:szCs w:val="24"/>
        </w:rPr>
        <w:t>quienes</w:t>
      </w:r>
      <w:r w:rsidRPr="00EF7A09">
        <w:rPr>
          <w:rFonts w:ascii="Century Gothic" w:hAnsi="Century Gothic"/>
          <w:bCs/>
          <w:sz w:val="24"/>
          <w:szCs w:val="24"/>
        </w:rPr>
        <w:t xml:space="preserve"> integramos la Comisión de </w:t>
      </w:r>
      <w:r w:rsidR="001B3DCA" w:rsidRPr="00EF7A09">
        <w:rPr>
          <w:rFonts w:ascii="Century Gothic" w:hAnsi="Century Gothic"/>
          <w:bCs/>
          <w:sz w:val="24"/>
          <w:szCs w:val="24"/>
        </w:rPr>
        <w:t>Igualdad</w:t>
      </w:r>
      <w:r w:rsidRPr="00EF7A09">
        <w:rPr>
          <w:rFonts w:ascii="Century Gothic" w:hAnsi="Century Gothic"/>
          <w:bCs/>
          <w:sz w:val="24"/>
          <w:szCs w:val="24"/>
        </w:rPr>
        <w:t xml:space="preserve">, nos permitimos someter a la consideración de este Alto Cuerpo Colegiado el siguiente proyecto de: </w:t>
      </w:r>
    </w:p>
    <w:p w14:paraId="30BE900B" w14:textId="77777777" w:rsidR="006340F3" w:rsidRDefault="006340F3" w:rsidP="00B26A9F">
      <w:pPr>
        <w:pStyle w:val="Normal1"/>
        <w:spacing w:line="360" w:lineRule="auto"/>
        <w:jc w:val="both"/>
        <w:rPr>
          <w:rFonts w:ascii="Century Gothic" w:hAnsi="Century Gothic"/>
          <w:bCs/>
          <w:szCs w:val="24"/>
        </w:rPr>
      </w:pPr>
    </w:p>
    <w:p w14:paraId="19A8B863" w14:textId="77777777" w:rsidR="00693892" w:rsidRDefault="00693892" w:rsidP="00B26A9F">
      <w:pPr>
        <w:pStyle w:val="Normal1"/>
        <w:spacing w:line="360" w:lineRule="auto"/>
        <w:jc w:val="both"/>
        <w:rPr>
          <w:rFonts w:ascii="Century Gothic" w:hAnsi="Century Gothic"/>
          <w:bCs/>
          <w:szCs w:val="24"/>
        </w:rPr>
      </w:pPr>
    </w:p>
    <w:p w14:paraId="78B65EE4" w14:textId="77777777" w:rsidR="00445EC3" w:rsidRPr="00DB5AA7" w:rsidRDefault="00445EC3" w:rsidP="00B26A9F">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07634220" w14:textId="77777777" w:rsidR="005F1876" w:rsidRDefault="005F1876" w:rsidP="00BA46FC">
      <w:pPr>
        <w:spacing w:after="0" w:line="360" w:lineRule="auto"/>
        <w:jc w:val="both"/>
        <w:rPr>
          <w:rFonts w:ascii="Century Gothic" w:hAnsi="Century Gothic" w:cs="Arial"/>
          <w:b/>
          <w:bCs/>
          <w:color w:val="000000"/>
          <w:sz w:val="24"/>
          <w:szCs w:val="24"/>
        </w:rPr>
      </w:pPr>
    </w:p>
    <w:p w14:paraId="05EC6B51" w14:textId="77777777" w:rsidR="00693892" w:rsidRDefault="00693892" w:rsidP="00BA46FC">
      <w:pPr>
        <w:spacing w:after="0" w:line="360" w:lineRule="auto"/>
        <w:jc w:val="both"/>
        <w:rPr>
          <w:rFonts w:ascii="Century Gothic" w:hAnsi="Century Gothic" w:cs="Arial"/>
          <w:b/>
          <w:bCs/>
          <w:color w:val="000000"/>
          <w:sz w:val="24"/>
          <w:szCs w:val="24"/>
        </w:rPr>
      </w:pPr>
    </w:p>
    <w:p w14:paraId="4A813C20" w14:textId="1D32F0C9" w:rsidR="00EF7A09" w:rsidRDefault="00A405E7" w:rsidP="0023779C">
      <w:pPr>
        <w:spacing w:after="0" w:line="360" w:lineRule="auto"/>
        <w:jc w:val="both"/>
        <w:rPr>
          <w:rFonts w:ascii="Century Gothic" w:hAnsi="Century Gothic"/>
          <w:sz w:val="24"/>
          <w:szCs w:val="24"/>
        </w:rPr>
      </w:pPr>
      <w:r w:rsidRPr="00A405E7">
        <w:rPr>
          <w:rFonts w:ascii="Century Gothic" w:eastAsia="Yu Gothic UI Light" w:hAnsi="Century Gothic" w:cs="Arial"/>
          <w:b/>
          <w:sz w:val="28"/>
          <w:szCs w:val="24"/>
        </w:rPr>
        <w:t xml:space="preserve">ARTÍCULO </w:t>
      </w:r>
      <w:proofErr w:type="gramStart"/>
      <w:r w:rsidR="00AD6F09">
        <w:rPr>
          <w:rFonts w:ascii="Century Gothic" w:eastAsia="Yu Gothic UI Light" w:hAnsi="Century Gothic" w:cs="Arial"/>
          <w:b/>
          <w:sz w:val="28"/>
          <w:szCs w:val="24"/>
        </w:rPr>
        <w:t>ÚNICO</w:t>
      </w:r>
      <w:r w:rsidR="00211FB4" w:rsidRPr="00A405E7">
        <w:rPr>
          <w:rFonts w:ascii="Century Gothic" w:eastAsia="Yu Gothic UI Light" w:hAnsi="Century Gothic" w:cs="Arial"/>
          <w:b/>
          <w:sz w:val="28"/>
          <w:szCs w:val="24"/>
        </w:rPr>
        <w:t>.</w:t>
      </w:r>
      <w:r w:rsidR="00211FB4">
        <w:rPr>
          <w:rFonts w:ascii="Century Gothic" w:eastAsia="Yu Gothic UI Light" w:hAnsi="Century Gothic" w:cs="Arial"/>
          <w:b/>
          <w:sz w:val="28"/>
          <w:szCs w:val="24"/>
        </w:rPr>
        <w:t>-</w:t>
      </w:r>
      <w:proofErr w:type="gramEnd"/>
      <w:r w:rsidR="00211FB4">
        <w:rPr>
          <w:rFonts w:ascii="Century Gothic" w:eastAsia="Yu Gothic UI Light" w:hAnsi="Century Gothic" w:cs="Arial"/>
          <w:b/>
          <w:sz w:val="28"/>
          <w:szCs w:val="24"/>
        </w:rPr>
        <w:t xml:space="preserve"> </w:t>
      </w:r>
      <w:r w:rsidR="00BA46FC" w:rsidRPr="00931976">
        <w:rPr>
          <w:rFonts w:ascii="Century Gothic" w:hAnsi="Century Gothic"/>
          <w:sz w:val="24"/>
          <w:szCs w:val="24"/>
        </w:rPr>
        <w:t xml:space="preserve">Se </w:t>
      </w:r>
      <w:r w:rsidR="005346C0">
        <w:rPr>
          <w:rFonts w:ascii="Century Gothic" w:hAnsi="Century Gothic"/>
          <w:b/>
          <w:bCs/>
          <w:sz w:val="24"/>
          <w:szCs w:val="24"/>
        </w:rPr>
        <w:t>REFORMA</w:t>
      </w:r>
      <w:r w:rsidR="00BA46FC">
        <w:rPr>
          <w:rFonts w:ascii="Century Gothic" w:hAnsi="Century Gothic"/>
          <w:sz w:val="24"/>
          <w:szCs w:val="24"/>
        </w:rPr>
        <w:t xml:space="preserve"> </w:t>
      </w:r>
      <w:r w:rsidR="005316CD">
        <w:rPr>
          <w:rFonts w:ascii="Century Gothic" w:hAnsi="Century Gothic"/>
          <w:sz w:val="24"/>
          <w:szCs w:val="24"/>
        </w:rPr>
        <w:t>el</w:t>
      </w:r>
      <w:r w:rsidR="001B3DCA">
        <w:rPr>
          <w:rFonts w:ascii="Century Gothic" w:hAnsi="Century Gothic"/>
          <w:sz w:val="24"/>
          <w:szCs w:val="24"/>
        </w:rPr>
        <w:t xml:space="preserve"> </w:t>
      </w:r>
      <w:r w:rsidR="00BA46FC">
        <w:rPr>
          <w:rFonts w:ascii="Century Gothic" w:hAnsi="Century Gothic"/>
          <w:sz w:val="24"/>
          <w:szCs w:val="24"/>
        </w:rPr>
        <w:t xml:space="preserve">artículo </w:t>
      </w:r>
      <w:r w:rsidR="005316CD">
        <w:rPr>
          <w:rFonts w:ascii="Century Gothic" w:hAnsi="Century Gothic"/>
          <w:sz w:val="24"/>
          <w:szCs w:val="24"/>
        </w:rPr>
        <w:t>47</w:t>
      </w:r>
      <w:r w:rsidR="005346C0">
        <w:rPr>
          <w:rFonts w:ascii="Century Gothic" w:hAnsi="Century Gothic"/>
          <w:sz w:val="24"/>
          <w:szCs w:val="24"/>
        </w:rPr>
        <w:t xml:space="preserve"> </w:t>
      </w:r>
      <w:r w:rsidR="00EF7A09">
        <w:rPr>
          <w:rFonts w:ascii="Century Gothic" w:hAnsi="Century Gothic"/>
          <w:sz w:val="24"/>
          <w:szCs w:val="24"/>
        </w:rPr>
        <w:t xml:space="preserve">de la </w:t>
      </w:r>
      <w:r w:rsidR="00AD6F09">
        <w:rPr>
          <w:rFonts w:ascii="Century Gothic" w:hAnsi="Century Gothic"/>
          <w:sz w:val="24"/>
          <w:szCs w:val="24"/>
        </w:rPr>
        <w:t xml:space="preserve">Ley de </w:t>
      </w:r>
      <w:r w:rsidR="005316CD">
        <w:rPr>
          <w:rFonts w:ascii="Century Gothic" w:hAnsi="Century Gothic"/>
          <w:sz w:val="24"/>
          <w:szCs w:val="24"/>
        </w:rPr>
        <w:t xml:space="preserve">Vivienda </w:t>
      </w:r>
      <w:r w:rsidR="00EF7A09">
        <w:rPr>
          <w:rFonts w:ascii="Century Gothic" w:hAnsi="Century Gothic"/>
          <w:sz w:val="24"/>
          <w:szCs w:val="24"/>
        </w:rPr>
        <w:t xml:space="preserve">del </w:t>
      </w:r>
      <w:r w:rsidR="0023779C">
        <w:rPr>
          <w:rFonts w:ascii="Century Gothic" w:hAnsi="Century Gothic"/>
          <w:sz w:val="24"/>
          <w:szCs w:val="24"/>
        </w:rPr>
        <w:t>Estado de Chihuahua</w:t>
      </w:r>
      <w:r w:rsidR="00BA46FC" w:rsidRPr="00931976">
        <w:rPr>
          <w:rFonts w:ascii="Century Gothic" w:hAnsi="Century Gothic"/>
          <w:sz w:val="24"/>
          <w:szCs w:val="24"/>
        </w:rPr>
        <w:t>, para queda</w:t>
      </w:r>
      <w:r w:rsidR="00542958">
        <w:rPr>
          <w:rFonts w:ascii="Century Gothic" w:hAnsi="Century Gothic"/>
          <w:sz w:val="24"/>
          <w:szCs w:val="24"/>
        </w:rPr>
        <w:t>r</w:t>
      </w:r>
      <w:r w:rsidR="00BA46FC" w:rsidRPr="00931976">
        <w:rPr>
          <w:rFonts w:ascii="Century Gothic" w:hAnsi="Century Gothic"/>
          <w:sz w:val="24"/>
          <w:szCs w:val="24"/>
        </w:rPr>
        <w:t xml:space="preserve"> </w:t>
      </w:r>
      <w:r w:rsidR="00BA46FC" w:rsidRPr="002D3326">
        <w:rPr>
          <w:rFonts w:ascii="Century Gothic" w:hAnsi="Century Gothic"/>
          <w:sz w:val="24"/>
          <w:szCs w:val="24"/>
        </w:rPr>
        <w:t>redactad</w:t>
      </w:r>
      <w:r w:rsidR="00542958">
        <w:rPr>
          <w:rFonts w:ascii="Century Gothic" w:hAnsi="Century Gothic"/>
          <w:sz w:val="24"/>
          <w:szCs w:val="24"/>
        </w:rPr>
        <w:t>o</w:t>
      </w:r>
      <w:r w:rsidR="0069444A">
        <w:rPr>
          <w:rFonts w:ascii="Century Gothic" w:hAnsi="Century Gothic"/>
          <w:sz w:val="24"/>
          <w:szCs w:val="24"/>
        </w:rPr>
        <w:t xml:space="preserve"> </w:t>
      </w:r>
      <w:r w:rsidR="00BA46FC" w:rsidRPr="00931976">
        <w:rPr>
          <w:rFonts w:ascii="Century Gothic" w:hAnsi="Century Gothic"/>
          <w:sz w:val="24"/>
          <w:szCs w:val="24"/>
        </w:rPr>
        <w:t>de la siguiente manera:</w:t>
      </w:r>
      <w:r w:rsidR="002545A6">
        <w:rPr>
          <w:rFonts w:ascii="Century Gothic" w:hAnsi="Century Gothic"/>
          <w:sz w:val="24"/>
          <w:szCs w:val="24"/>
        </w:rPr>
        <w:t xml:space="preserve">  </w:t>
      </w:r>
      <w:r w:rsidR="0023779C" w:rsidRPr="0023779C">
        <w:rPr>
          <w:rFonts w:ascii="Century Gothic" w:hAnsi="Century Gothic"/>
          <w:sz w:val="24"/>
          <w:szCs w:val="24"/>
        </w:rPr>
        <w:t xml:space="preserve"> </w:t>
      </w:r>
    </w:p>
    <w:p w14:paraId="3745C15A" w14:textId="77777777" w:rsidR="009A3148" w:rsidRDefault="009A3148" w:rsidP="0023779C">
      <w:pPr>
        <w:spacing w:after="0" w:line="360" w:lineRule="auto"/>
        <w:jc w:val="both"/>
        <w:rPr>
          <w:rFonts w:ascii="Century Gothic" w:hAnsi="Century Gothic"/>
          <w:sz w:val="24"/>
          <w:szCs w:val="24"/>
        </w:rPr>
      </w:pPr>
    </w:p>
    <w:p w14:paraId="11535AAE" w14:textId="701547D5" w:rsidR="005316CD" w:rsidRDefault="00AE38AA" w:rsidP="005316CD">
      <w:pPr>
        <w:spacing w:after="0" w:line="360" w:lineRule="auto"/>
        <w:ind w:right="-34"/>
        <w:jc w:val="both"/>
        <w:outlineLvl w:val="0"/>
        <w:rPr>
          <w:rFonts w:ascii="Century Gothic" w:hAnsi="Century Gothic" w:cs="Arial"/>
          <w:bCs/>
          <w:sz w:val="24"/>
          <w:szCs w:val="24"/>
        </w:rPr>
      </w:pPr>
      <w:r w:rsidRPr="009A3148">
        <w:rPr>
          <w:rFonts w:ascii="Century Gothic" w:hAnsi="Century Gothic" w:cs="Arial"/>
          <w:b/>
          <w:sz w:val="24"/>
          <w:szCs w:val="24"/>
        </w:rPr>
        <w:t xml:space="preserve">Artículo </w:t>
      </w:r>
      <w:r w:rsidR="005316CD">
        <w:rPr>
          <w:rFonts w:ascii="Century Gothic" w:hAnsi="Century Gothic" w:cs="Arial"/>
          <w:b/>
          <w:sz w:val="24"/>
          <w:szCs w:val="24"/>
        </w:rPr>
        <w:t>47</w:t>
      </w:r>
      <w:r w:rsidR="005316CD">
        <w:rPr>
          <w:rFonts w:ascii="Century Gothic" w:hAnsi="Century Gothic" w:cs="Arial"/>
          <w:bCs/>
          <w:sz w:val="24"/>
          <w:szCs w:val="24"/>
        </w:rPr>
        <w:t xml:space="preserve">. </w:t>
      </w:r>
      <w:r w:rsidR="006D0FE3">
        <w:rPr>
          <w:rFonts w:ascii="Century Gothic" w:hAnsi="Century Gothic" w:cs="Arial"/>
          <w:b/>
          <w:sz w:val="24"/>
          <w:szCs w:val="24"/>
        </w:rPr>
        <w:t>…</w:t>
      </w:r>
      <w:r w:rsidR="005316CD">
        <w:rPr>
          <w:rFonts w:ascii="Century Gothic" w:hAnsi="Century Gothic" w:cs="Arial"/>
          <w:bCs/>
          <w:sz w:val="24"/>
          <w:szCs w:val="24"/>
        </w:rPr>
        <w:t xml:space="preserve"> </w:t>
      </w:r>
    </w:p>
    <w:p w14:paraId="68C0F6A8" w14:textId="723DFE00" w:rsidR="00D20A7A" w:rsidRPr="005316CD" w:rsidRDefault="005316CD" w:rsidP="005316CD">
      <w:pPr>
        <w:spacing w:line="360" w:lineRule="auto"/>
        <w:ind w:right="-34"/>
        <w:jc w:val="both"/>
        <w:outlineLvl w:val="0"/>
        <w:rPr>
          <w:rFonts w:ascii="Century Gothic" w:hAnsi="Century Gothic" w:cs="Arial"/>
          <w:bCs/>
          <w:sz w:val="24"/>
          <w:szCs w:val="24"/>
        </w:rPr>
      </w:pPr>
      <w:r w:rsidRPr="005316CD">
        <w:rPr>
          <w:rFonts w:ascii="Century Gothic" w:hAnsi="Century Gothic" w:cs="Arial"/>
          <w:bCs/>
          <w:sz w:val="24"/>
          <w:szCs w:val="24"/>
        </w:rPr>
        <w:t>El Estado tiene la responsabilidad de apoyar preferentemente a la población en situación de pobreza,</w:t>
      </w:r>
      <w:r>
        <w:rPr>
          <w:rFonts w:ascii="Century Gothic" w:hAnsi="Century Gothic" w:cs="Arial"/>
          <w:bCs/>
          <w:sz w:val="24"/>
          <w:szCs w:val="24"/>
        </w:rPr>
        <w:t xml:space="preserve"> </w:t>
      </w:r>
      <w:r w:rsidRPr="005316CD">
        <w:rPr>
          <w:rFonts w:ascii="Century Gothic" w:hAnsi="Century Gothic" w:cs="Arial"/>
          <w:bCs/>
          <w:sz w:val="24"/>
          <w:szCs w:val="24"/>
        </w:rPr>
        <w:t>riesgo, o vulnerabilidad, así como a las mujeres sostén de la familia</w:t>
      </w:r>
      <w:r>
        <w:rPr>
          <w:rFonts w:ascii="Century Gothic" w:hAnsi="Century Gothic" w:cs="Arial"/>
          <w:bCs/>
          <w:sz w:val="24"/>
          <w:szCs w:val="24"/>
        </w:rPr>
        <w:t xml:space="preserve"> </w:t>
      </w:r>
      <w:r w:rsidRPr="005316CD">
        <w:rPr>
          <w:rFonts w:ascii="Century Gothic" w:hAnsi="Century Gothic" w:cs="Arial"/>
          <w:b/>
          <w:sz w:val="24"/>
          <w:szCs w:val="24"/>
        </w:rPr>
        <w:t>o víctimas de la violencia</w:t>
      </w:r>
      <w:r w:rsidRPr="005316CD">
        <w:rPr>
          <w:rFonts w:ascii="Century Gothic" w:hAnsi="Century Gothic" w:cs="Arial"/>
          <w:bCs/>
          <w:sz w:val="24"/>
          <w:szCs w:val="24"/>
        </w:rPr>
        <w:t>; por lo que diseñará, definirá y</w:t>
      </w:r>
      <w:r>
        <w:rPr>
          <w:rFonts w:ascii="Century Gothic" w:hAnsi="Century Gothic" w:cs="Arial"/>
          <w:bCs/>
          <w:sz w:val="24"/>
          <w:szCs w:val="24"/>
        </w:rPr>
        <w:t xml:space="preserve"> </w:t>
      </w:r>
      <w:r w:rsidRPr="005316CD">
        <w:rPr>
          <w:rFonts w:ascii="Century Gothic" w:hAnsi="Century Gothic" w:cs="Arial"/>
          <w:bCs/>
          <w:sz w:val="24"/>
          <w:szCs w:val="24"/>
        </w:rPr>
        <w:t>operará un conjunto de mecanismos y acciones para captar y destinar recursos presupuestales, ahorros,</w:t>
      </w:r>
      <w:r>
        <w:rPr>
          <w:rFonts w:ascii="Century Gothic" w:hAnsi="Century Gothic" w:cs="Arial"/>
          <w:bCs/>
          <w:sz w:val="24"/>
          <w:szCs w:val="24"/>
        </w:rPr>
        <w:t xml:space="preserve"> </w:t>
      </w:r>
      <w:r w:rsidRPr="005316CD">
        <w:rPr>
          <w:rFonts w:ascii="Century Gothic" w:hAnsi="Century Gothic" w:cs="Arial"/>
          <w:bCs/>
          <w:sz w:val="24"/>
          <w:szCs w:val="24"/>
        </w:rPr>
        <w:t>subsidios, financiamientos y otras aportaciones para los programas de vivienda que respondan a las</w:t>
      </w:r>
      <w:r>
        <w:rPr>
          <w:rFonts w:ascii="Century Gothic" w:hAnsi="Century Gothic" w:cs="Arial"/>
          <w:bCs/>
          <w:sz w:val="24"/>
          <w:szCs w:val="24"/>
        </w:rPr>
        <w:t xml:space="preserve"> </w:t>
      </w:r>
      <w:r w:rsidRPr="005316CD">
        <w:rPr>
          <w:rFonts w:ascii="Century Gothic" w:hAnsi="Century Gothic" w:cs="Arial"/>
          <w:bCs/>
          <w:sz w:val="24"/>
          <w:szCs w:val="24"/>
        </w:rPr>
        <w:t>necesidades de vivienda de los distintos sectores de la población.</w:t>
      </w:r>
    </w:p>
    <w:p w14:paraId="014C5762" w14:textId="4F46495A" w:rsidR="00D20A7A" w:rsidRDefault="00D20A7A" w:rsidP="00D20A7A">
      <w:pPr>
        <w:spacing w:line="360" w:lineRule="auto"/>
        <w:ind w:right="-34"/>
        <w:jc w:val="both"/>
        <w:outlineLvl w:val="0"/>
        <w:rPr>
          <w:rFonts w:ascii="Century Gothic" w:hAnsi="Century Gothic" w:cs="Arial"/>
          <w:bCs/>
          <w:sz w:val="24"/>
          <w:szCs w:val="24"/>
        </w:rPr>
      </w:pPr>
    </w:p>
    <w:p w14:paraId="5678DC22" w14:textId="77777777" w:rsidR="005316CD" w:rsidRPr="00D20A7A" w:rsidRDefault="005316CD" w:rsidP="00D20A7A">
      <w:pPr>
        <w:spacing w:line="360" w:lineRule="auto"/>
        <w:ind w:right="-34"/>
        <w:jc w:val="both"/>
        <w:outlineLvl w:val="0"/>
        <w:rPr>
          <w:rFonts w:ascii="Century Gothic" w:hAnsi="Century Gothic" w:cs="Arial"/>
          <w:bCs/>
          <w:sz w:val="24"/>
          <w:szCs w:val="24"/>
        </w:rPr>
      </w:pPr>
    </w:p>
    <w:p w14:paraId="47C286C2" w14:textId="77777777" w:rsidR="009F3B35" w:rsidRPr="003539A7" w:rsidRDefault="00A405E7" w:rsidP="00B26A9F">
      <w:pPr>
        <w:spacing w:after="0" w:line="360" w:lineRule="auto"/>
        <w:ind w:right="-34"/>
        <w:jc w:val="center"/>
        <w:outlineLvl w:val="0"/>
        <w:rPr>
          <w:rFonts w:ascii="Century Gothic" w:hAnsi="Century Gothic" w:cs="Arial"/>
          <w:b/>
          <w:bCs/>
          <w:spacing w:val="-11"/>
          <w:kern w:val="32"/>
          <w:sz w:val="28"/>
          <w:szCs w:val="24"/>
        </w:rPr>
      </w:pP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A</w:t>
      </w:r>
      <w:r w:rsidR="00744494">
        <w:rPr>
          <w:rFonts w:ascii="Century Gothic" w:hAnsi="Century Gothic" w:cs="Arial"/>
          <w:b/>
          <w:sz w:val="28"/>
          <w:szCs w:val="24"/>
        </w:rPr>
        <w:t xml:space="preserve"> </w:t>
      </w:r>
      <w:r>
        <w:rPr>
          <w:rFonts w:ascii="Century Gothic" w:hAnsi="Century Gothic" w:cs="Arial"/>
          <w:b/>
          <w:sz w:val="28"/>
          <w:szCs w:val="24"/>
        </w:rPr>
        <w:t>N</w:t>
      </w:r>
      <w:r w:rsidR="00744494">
        <w:rPr>
          <w:rFonts w:ascii="Century Gothic" w:hAnsi="Century Gothic" w:cs="Arial"/>
          <w:b/>
          <w:sz w:val="28"/>
          <w:szCs w:val="24"/>
        </w:rPr>
        <w:t xml:space="preserve"> </w:t>
      </w:r>
      <w:r>
        <w:rPr>
          <w:rFonts w:ascii="Century Gothic" w:hAnsi="Century Gothic" w:cs="Arial"/>
          <w:b/>
          <w:sz w:val="28"/>
          <w:szCs w:val="24"/>
        </w:rPr>
        <w:t>S</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T</w:t>
      </w:r>
      <w:r w:rsidR="00744494">
        <w:rPr>
          <w:rFonts w:ascii="Century Gothic" w:hAnsi="Century Gothic" w:cs="Arial"/>
          <w:b/>
          <w:sz w:val="28"/>
          <w:szCs w:val="24"/>
        </w:rPr>
        <w:t xml:space="preserve"> </w:t>
      </w:r>
      <w:r>
        <w:rPr>
          <w:rFonts w:ascii="Century Gothic" w:hAnsi="Century Gothic" w:cs="Arial"/>
          <w:b/>
          <w:sz w:val="28"/>
          <w:szCs w:val="24"/>
        </w:rPr>
        <w:t>O</w:t>
      </w:r>
      <w:r w:rsidR="00744494">
        <w:rPr>
          <w:rFonts w:ascii="Century Gothic" w:hAnsi="Century Gothic" w:cs="Arial"/>
          <w:b/>
          <w:sz w:val="28"/>
          <w:szCs w:val="24"/>
        </w:rPr>
        <w:t xml:space="preserve"> </w:t>
      </w:r>
      <w:r>
        <w:rPr>
          <w:rFonts w:ascii="Century Gothic" w:hAnsi="Century Gothic" w:cs="Arial"/>
          <w:b/>
          <w:sz w:val="28"/>
          <w:szCs w:val="24"/>
        </w:rPr>
        <w:t>R</w:t>
      </w:r>
      <w:r w:rsidR="00744494">
        <w:rPr>
          <w:rFonts w:ascii="Century Gothic" w:hAnsi="Century Gothic" w:cs="Arial"/>
          <w:b/>
          <w:sz w:val="28"/>
          <w:szCs w:val="24"/>
        </w:rPr>
        <w:t xml:space="preserve"> </w:t>
      </w:r>
      <w:r>
        <w:rPr>
          <w:rFonts w:ascii="Century Gothic" w:hAnsi="Century Gothic" w:cs="Arial"/>
          <w:b/>
          <w:sz w:val="28"/>
          <w:szCs w:val="24"/>
        </w:rPr>
        <w:t>I</w:t>
      </w:r>
      <w:r w:rsidR="00744494">
        <w:rPr>
          <w:rFonts w:ascii="Century Gothic" w:hAnsi="Century Gothic" w:cs="Arial"/>
          <w:b/>
          <w:sz w:val="28"/>
          <w:szCs w:val="24"/>
        </w:rPr>
        <w:t xml:space="preserve"> </w:t>
      </w:r>
      <w:r>
        <w:rPr>
          <w:rFonts w:ascii="Century Gothic" w:hAnsi="Century Gothic" w:cs="Arial"/>
          <w:b/>
          <w:sz w:val="28"/>
          <w:szCs w:val="24"/>
        </w:rPr>
        <w:t>O</w:t>
      </w:r>
    </w:p>
    <w:p w14:paraId="0CB88F4E" w14:textId="77777777" w:rsidR="009F3B35" w:rsidRPr="00C157D0" w:rsidRDefault="009F3B35" w:rsidP="00B26A9F">
      <w:pPr>
        <w:spacing w:after="0" w:line="360" w:lineRule="auto"/>
        <w:ind w:right="-34"/>
        <w:outlineLvl w:val="0"/>
        <w:rPr>
          <w:rFonts w:ascii="Century Gothic" w:hAnsi="Century Gothic" w:cs="Arial"/>
          <w:b/>
          <w:sz w:val="24"/>
          <w:szCs w:val="24"/>
        </w:rPr>
      </w:pPr>
    </w:p>
    <w:p w14:paraId="01B3B58C" w14:textId="77777777" w:rsidR="00693892" w:rsidRDefault="00693892" w:rsidP="00B26A9F">
      <w:pPr>
        <w:spacing w:after="0" w:line="360" w:lineRule="auto"/>
        <w:ind w:right="-34"/>
        <w:jc w:val="both"/>
        <w:rPr>
          <w:rFonts w:ascii="Century Gothic" w:eastAsia="Yu Gothic UI Light" w:hAnsi="Century Gothic" w:cs="Arial"/>
          <w:b/>
          <w:sz w:val="28"/>
          <w:szCs w:val="24"/>
        </w:rPr>
      </w:pPr>
    </w:p>
    <w:p w14:paraId="66487960" w14:textId="19C726C8" w:rsidR="009F3B35" w:rsidRPr="00C157D0" w:rsidRDefault="009F3B35" w:rsidP="00B26A9F">
      <w:pPr>
        <w:spacing w:after="0" w:line="360" w:lineRule="auto"/>
        <w:ind w:right="-34"/>
        <w:jc w:val="both"/>
        <w:rPr>
          <w:rFonts w:ascii="Century Gothic" w:eastAsia="Yu Gothic UI Light" w:hAnsi="Century Gothic" w:cs="Arial"/>
          <w:sz w:val="24"/>
          <w:szCs w:val="24"/>
        </w:rPr>
      </w:pPr>
      <w:r w:rsidRPr="003539A7">
        <w:rPr>
          <w:rFonts w:ascii="Century Gothic" w:eastAsia="Yu Gothic UI Light" w:hAnsi="Century Gothic" w:cs="Arial"/>
          <w:b/>
          <w:sz w:val="28"/>
          <w:szCs w:val="24"/>
        </w:rPr>
        <w:t xml:space="preserve">ARTÍCULO </w:t>
      </w:r>
      <w:proofErr w:type="gramStart"/>
      <w:r w:rsidR="00AD6F09">
        <w:rPr>
          <w:rFonts w:ascii="Century Gothic" w:eastAsia="Yu Gothic UI Light" w:hAnsi="Century Gothic" w:cs="Arial"/>
          <w:b/>
          <w:sz w:val="28"/>
          <w:szCs w:val="24"/>
        </w:rPr>
        <w:t>ÚNICO</w:t>
      </w:r>
      <w:r w:rsidR="000A7394" w:rsidRPr="003539A7">
        <w:rPr>
          <w:rFonts w:ascii="Century Gothic" w:eastAsia="Yu Gothic UI Light" w:hAnsi="Century Gothic" w:cs="Arial"/>
          <w:b/>
          <w:sz w:val="28"/>
          <w:szCs w:val="24"/>
        </w:rPr>
        <w:t>.</w:t>
      </w:r>
      <w:r w:rsidR="000A7394">
        <w:rPr>
          <w:rFonts w:ascii="Century Gothic" w:eastAsia="Yu Gothic UI Light" w:hAnsi="Century Gothic" w:cs="Arial"/>
          <w:b/>
          <w:sz w:val="28"/>
          <w:szCs w:val="24"/>
        </w:rPr>
        <w:t>-</w:t>
      </w:r>
      <w:proofErr w:type="gramEnd"/>
      <w:r w:rsidR="00DD276B">
        <w:rPr>
          <w:rFonts w:ascii="Century Gothic" w:eastAsia="Yu Gothic UI Light" w:hAnsi="Century Gothic" w:cs="Arial"/>
          <w:sz w:val="24"/>
          <w:szCs w:val="24"/>
        </w:rPr>
        <w:t xml:space="preserve"> El presente Decreto entrará en vigor al día siguiente de su publicación en el Periódico Oficial del Estado. </w:t>
      </w:r>
    </w:p>
    <w:p w14:paraId="05653697" w14:textId="77777777" w:rsidR="00445EC3" w:rsidRPr="00DB5AA7" w:rsidRDefault="00445EC3" w:rsidP="00B26A9F">
      <w:pPr>
        <w:spacing w:after="0" w:line="360" w:lineRule="auto"/>
        <w:jc w:val="both"/>
        <w:rPr>
          <w:rFonts w:ascii="Century Gothic" w:hAnsi="Century Gothic" w:cs="Arial"/>
          <w:b/>
          <w:sz w:val="24"/>
          <w:szCs w:val="24"/>
          <w:lang w:val="es-ES"/>
        </w:rPr>
      </w:pPr>
    </w:p>
    <w:p w14:paraId="16EBF9C0" w14:textId="77777777" w:rsidR="00693892" w:rsidRDefault="00B25800" w:rsidP="007F5BDD">
      <w:pPr>
        <w:spacing w:after="0" w:line="360" w:lineRule="auto"/>
        <w:jc w:val="both"/>
        <w:rPr>
          <w:rFonts w:ascii="Century Gothic" w:hAnsi="Century Gothic" w:cs="Arial"/>
          <w:sz w:val="24"/>
          <w:szCs w:val="24"/>
        </w:rPr>
      </w:pPr>
      <w:proofErr w:type="gramStart"/>
      <w:r w:rsidRPr="0061716E">
        <w:rPr>
          <w:rFonts w:ascii="Century Gothic" w:hAnsi="Century Gothic" w:cs="Arial"/>
          <w:b/>
          <w:sz w:val="28"/>
          <w:szCs w:val="28"/>
        </w:rPr>
        <w:t>ECONÓMICO.-</w:t>
      </w:r>
      <w:proofErr w:type="gramEnd"/>
      <w:r w:rsidR="00445EC3" w:rsidRPr="00DB5AA7">
        <w:rPr>
          <w:rFonts w:ascii="Century Gothic" w:hAnsi="Century Gothic" w:cs="Arial"/>
          <w:sz w:val="24"/>
          <w:szCs w:val="24"/>
        </w:rPr>
        <w:t> Aprobado que sea, túrnese a la Secretaría para que elabore la Minuta de Decreto en los términos en que deba publicarse.</w:t>
      </w:r>
    </w:p>
    <w:p w14:paraId="75D90BBF" w14:textId="77777777" w:rsidR="00693892" w:rsidRDefault="00693892" w:rsidP="007F5BDD">
      <w:pPr>
        <w:spacing w:after="0" w:line="360" w:lineRule="auto"/>
        <w:jc w:val="both"/>
        <w:rPr>
          <w:rFonts w:ascii="Century Gothic" w:hAnsi="Century Gothic"/>
          <w:sz w:val="24"/>
          <w:szCs w:val="24"/>
        </w:rPr>
      </w:pPr>
    </w:p>
    <w:p w14:paraId="1A144C28" w14:textId="3A33FD74" w:rsidR="00693892" w:rsidRPr="00885383" w:rsidRDefault="00445EC3" w:rsidP="00885383">
      <w:pPr>
        <w:spacing w:after="0" w:line="360" w:lineRule="auto"/>
        <w:jc w:val="both"/>
        <w:rPr>
          <w:rFonts w:ascii="Century Gothic" w:hAnsi="Century Gothic"/>
          <w:sz w:val="24"/>
          <w:szCs w:val="24"/>
        </w:rPr>
      </w:pPr>
      <w:r w:rsidRPr="00414B59">
        <w:rPr>
          <w:rFonts w:ascii="Century Gothic" w:hAnsi="Century Gothic"/>
          <w:sz w:val="24"/>
          <w:szCs w:val="24"/>
        </w:rPr>
        <w:t xml:space="preserve">Dado en el </w:t>
      </w:r>
      <w:r>
        <w:rPr>
          <w:rFonts w:ascii="Century Gothic" w:hAnsi="Century Gothic"/>
          <w:sz w:val="24"/>
          <w:szCs w:val="24"/>
        </w:rPr>
        <w:t>Recinto Oficial del Poder Legislativo, en la Ciudad de Chihuahua,</w:t>
      </w:r>
      <w:r w:rsidRPr="00414B59">
        <w:rPr>
          <w:rFonts w:ascii="Century Gothic" w:hAnsi="Century Gothic"/>
          <w:sz w:val="24"/>
          <w:szCs w:val="24"/>
        </w:rPr>
        <w:t xml:space="preserve"> Chihuahua</w:t>
      </w:r>
      <w:r w:rsidR="00AC025B">
        <w:rPr>
          <w:rFonts w:ascii="Century Gothic" w:hAnsi="Century Gothic"/>
          <w:sz w:val="24"/>
          <w:szCs w:val="24"/>
        </w:rPr>
        <w:t>,</w:t>
      </w:r>
      <w:r w:rsidRPr="00414B59">
        <w:rPr>
          <w:rFonts w:ascii="Century Gothic" w:hAnsi="Century Gothic"/>
          <w:sz w:val="24"/>
          <w:szCs w:val="24"/>
        </w:rPr>
        <w:t xml:space="preserve"> a</w:t>
      </w:r>
      <w:r w:rsidR="0069125D">
        <w:rPr>
          <w:rFonts w:ascii="Century Gothic" w:hAnsi="Century Gothic"/>
          <w:sz w:val="24"/>
          <w:szCs w:val="24"/>
        </w:rPr>
        <w:t xml:space="preserve"> </w:t>
      </w:r>
      <w:r w:rsidR="00F56E8F">
        <w:rPr>
          <w:rFonts w:ascii="Century Gothic" w:hAnsi="Century Gothic"/>
          <w:sz w:val="24"/>
          <w:szCs w:val="24"/>
        </w:rPr>
        <w:t>l</w:t>
      </w:r>
      <w:r w:rsidR="0069125D">
        <w:rPr>
          <w:rFonts w:ascii="Century Gothic" w:hAnsi="Century Gothic"/>
          <w:sz w:val="24"/>
          <w:szCs w:val="24"/>
        </w:rPr>
        <w:t>os</w:t>
      </w:r>
      <w:r w:rsidR="00F56E8F">
        <w:rPr>
          <w:rFonts w:ascii="Century Gothic" w:hAnsi="Century Gothic"/>
          <w:sz w:val="24"/>
          <w:szCs w:val="24"/>
        </w:rPr>
        <w:t xml:space="preserve"> </w:t>
      </w:r>
      <w:r w:rsidR="003A2A0F">
        <w:rPr>
          <w:rFonts w:ascii="Century Gothic" w:hAnsi="Century Gothic"/>
          <w:sz w:val="24"/>
          <w:szCs w:val="24"/>
        </w:rPr>
        <w:t>doce</w:t>
      </w:r>
      <w:r>
        <w:rPr>
          <w:rFonts w:ascii="Century Gothic" w:hAnsi="Century Gothic"/>
          <w:sz w:val="24"/>
          <w:szCs w:val="24"/>
        </w:rPr>
        <w:t xml:space="preserve"> </w:t>
      </w:r>
      <w:r w:rsidRPr="00414B59">
        <w:rPr>
          <w:rFonts w:ascii="Century Gothic" w:hAnsi="Century Gothic"/>
          <w:sz w:val="24"/>
          <w:szCs w:val="24"/>
        </w:rPr>
        <w:t>día</w:t>
      </w:r>
      <w:r w:rsidR="0069125D">
        <w:rPr>
          <w:rFonts w:ascii="Century Gothic" w:hAnsi="Century Gothic"/>
          <w:sz w:val="24"/>
          <w:szCs w:val="24"/>
        </w:rPr>
        <w:t>s</w:t>
      </w:r>
      <w:r w:rsidRPr="00414B59">
        <w:rPr>
          <w:rFonts w:ascii="Century Gothic" w:hAnsi="Century Gothic"/>
          <w:sz w:val="24"/>
          <w:szCs w:val="24"/>
        </w:rPr>
        <w:t xml:space="preserve"> del mes de </w:t>
      </w:r>
      <w:r w:rsidR="003A2A0F">
        <w:rPr>
          <w:rFonts w:ascii="Century Gothic" w:hAnsi="Century Gothic"/>
          <w:sz w:val="24"/>
          <w:szCs w:val="24"/>
        </w:rPr>
        <w:t>agosto</w:t>
      </w:r>
      <w:r w:rsidRPr="00414B59">
        <w:rPr>
          <w:rFonts w:ascii="Century Gothic" w:hAnsi="Century Gothic"/>
          <w:sz w:val="24"/>
          <w:szCs w:val="24"/>
        </w:rPr>
        <w:t xml:space="preserve"> del año dos mil </w:t>
      </w:r>
      <w:r w:rsidR="000F7395">
        <w:rPr>
          <w:rFonts w:ascii="Century Gothic" w:hAnsi="Century Gothic"/>
          <w:sz w:val="24"/>
          <w:szCs w:val="24"/>
        </w:rPr>
        <w:t>veinti</w:t>
      </w:r>
      <w:r w:rsidR="0023779C">
        <w:rPr>
          <w:rFonts w:ascii="Century Gothic" w:hAnsi="Century Gothic"/>
          <w:sz w:val="24"/>
          <w:szCs w:val="24"/>
        </w:rPr>
        <w:t>cuatro</w:t>
      </w:r>
      <w:r w:rsidRPr="00414B59">
        <w:rPr>
          <w:rFonts w:ascii="Century Gothic" w:hAnsi="Century Gothic"/>
          <w:sz w:val="24"/>
          <w:szCs w:val="24"/>
        </w:rPr>
        <w:t>.</w:t>
      </w:r>
    </w:p>
    <w:p w14:paraId="7EA49F73" w14:textId="77777777" w:rsidR="00CE48BE" w:rsidRDefault="00CE48BE" w:rsidP="00D20A7A">
      <w:pPr>
        <w:pStyle w:val="Normal1"/>
        <w:contextualSpacing/>
        <w:rPr>
          <w:rFonts w:ascii="Century Gothic" w:eastAsia="Arial" w:hAnsi="Century Gothic" w:cs="Arial"/>
          <w:b/>
          <w:smallCaps/>
          <w:color w:val="auto"/>
          <w:sz w:val="20"/>
          <w:lang w:val="es-MX"/>
        </w:rPr>
      </w:pPr>
    </w:p>
    <w:p w14:paraId="615E6707" w14:textId="77777777" w:rsidR="00C766D8" w:rsidRDefault="00C766D8" w:rsidP="002D3326">
      <w:pPr>
        <w:pStyle w:val="Normal1"/>
        <w:contextualSpacing/>
        <w:jc w:val="center"/>
        <w:rPr>
          <w:rFonts w:ascii="Century Gothic" w:eastAsia="Arial" w:hAnsi="Century Gothic" w:cs="Arial"/>
          <w:b/>
          <w:smallCaps/>
          <w:color w:val="auto"/>
          <w:sz w:val="20"/>
          <w:lang w:val="es-MX"/>
        </w:rPr>
      </w:pPr>
    </w:p>
    <w:p w14:paraId="5F375F90"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1BFD435F"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661F1A10"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3E36DEE0"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599AD600"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2BDD21EF"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03E40F44"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74262AFD"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3C00D76D"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6E09FCE0"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2A1DEF0E"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1EC97CF6"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4849FC45"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496BBB9E"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15748612"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12FB0634"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34165DAC"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7B117540"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1940A995"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51296B36" w14:textId="77777777" w:rsidR="005316CD" w:rsidRDefault="005316CD" w:rsidP="002D3326">
      <w:pPr>
        <w:pStyle w:val="Normal1"/>
        <w:contextualSpacing/>
        <w:jc w:val="center"/>
        <w:rPr>
          <w:rFonts w:ascii="Century Gothic" w:eastAsia="Arial" w:hAnsi="Century Gothic" w:cs="Arial"/>
          <w:b/>
          <w:smallCaps/>
          <w:color w:val="auto"/>
          <w:sz w:val="20"/>
          <w:lang w:val="es-MX"/>
        </w:rPr>
      </w:pPr>
    </w:p>
    <w:p w14:paraId="6288C64D" w14:textId="69C4AD12"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ASÍ LO APROBÓ LA COMISIÓN DE</w:t>
      </w:r>
      <w:r w:rsidR="000F7395" w:rsidRPr="0061716E">
        <w:rPr>
          <w:rFonts w:ascii="Century Gothic" w:eastAsia="Arial" w:hAnsi="Century Gothic" w:cs="Arial"/>
          <w:b/>
          <w:smallCaps/>
          <w:color w:val="auto"/>
          <w:sz w:val="20"/>
          <w:lang w:val="es-MX"/>
        </w:rPr>
        <w:t xml:space="preserve"> </w:t>
      </w:r>
      <w:r w:rsidR="00BD106A">
        <w:rPr>
          <w:rFonts w:ascii="Century Gothic" w:eastAsia="Arial" w:hAnsi="Century Gothic" w:cs="Arial"/>
          <w:b/>
          <w:smallCaps/>
          <w:color w:val="auto"/>
          <w:sz w:val="20"/>
          <w:lang w:val="es-MX"/>
        </w:rPr>
        <w:t>IGUALDAD</w:t>
      </w:r>
      <w:r w:rsidR="000F7395" w:rsidRPr="0061716E">
        <w:rPr>
          <w:rFonts w:ascii="Century Gothic" w:eastAsia="Arial" w:hAnsi="Century Gothic" w:cs="Arial"/>
          <w:b/>
          <w:smallCaps/>
          <w:color w:val="auto"/>
          <w:sz w:val="20"/>
          <w:lang w:val="es-MX"/>
        </w:rPr>
        <w:t xml:space="preserve">, EN REUNIÓN DE </w:t>
      </w:r>
      <w:r w:rsidR="00034F62" w:rsidRPr="0061716E">
        <w:rPr>
          <w:rFonts w:ascii="Century Gothic" w:eastAsia="Arial" w:hAnsi="Century Gothic" w:cs="Arial"/>
          <w:b/>
          <w:smallCaps/>
          <w:color w:val="auto"/>
          <w:sz w:val="20"/>
          <w:lang w:val="es-MX"/>
        </w:rPr>
        <w:t xml:space="preserve">FECHA </w:t>
      </w:r>
      <w:r w:rsidR="003A2A0F">
        <w:rPr>
          <w:rFonts w:ascii="Century Gothic" w:eastAsia="Arial" w:hAnsi="Century Gothic" w:cs="Arial"/>
          <w:b/>
          <w:smallCaps/>
          <w:color w:val="auto"/>
          <w:sz w:val="20"/>
          <w:lang w:val="es-MX"/>
        </w:rPr>
        <w:t>DOS</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3A2A0F">
        <w:rPr>
          <w:rFonts w:ascii="Century Gothic" w:eastAsia="Arial" w:hAnsi="Century Gothic" w:cs="Arial"/>
          <w:b/>
          <w:smallCaps/>
          <w:color w:val="auto"/>
          <w:sz w:val="20"/>
          <w:lang w:val="es-MX"/>
        </w:rPr>
        <w:t>AGOSTO</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w:t>
      </w:r>
      <w:r w:rsidR="0023779C">
        <w:rPr>
          <w:rFonts w:ascii="Century Gothic" w:eastAsia="Arial" w:hAnsi="Century Gothic" w:cs="Arial"/>
          <w:b/>
          <w:smallCaps/>
          <w:color w:val="auto"/>
          <w:sz w:val="20"/>
          <w:lang w:val="es-MX"/>
        </w:rPr>
        <w:t>CUATRO</w:t>
      </w:r>
      <w:r w:rsidR="00A405E7" w:rsidRPr="0061716E">
        <w:rPr>
          <w:rFonts w:ascii="Century Gothic" w:eastAsia="Arial" w:hAnsi="Century Gothic" w:cs="Arial"/>
          <w:b/>
          <w:smallCaps/>
          <w:color w:val="auto"/>
          <w:sz w:val="20"/>
          <w:lang w:val="es-MX"/>
        </w:rPr>
        <w:t>.</w:t>
      </w:r>
    </w:p>
    <w:p w14:paraId="4C1A957A" w14:textId="77777777" w:rsidR="000A49CC" w:rsidRDefault="000A49CC" w:rsidP="0061716E">
      <w:pPr>
        <w:pStyle w:val="Normal2"/>
        <w:jc w:val="center"/>
        <w:rPr>
          <w:rFonts w:ascii="Century Gothic" w:eastAsia="Arial" w:hAnsi="Century Gothic" w:cs="Arial"/>
          <w:b/>
          <w:sz w:val="20"/>
          <w:lang w:val="es-MX"/>
        </w:rPr>
      </w:pPr>
    </w:p>
    <w:p w14:paraId="342C5C87" w14:textId="2D44B04E"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BD106A">
        <w:rPr>
          <w:rFonts w:ascii="Century Gothic" w:eastAsia="Arial" w:hAnsi="Century Gothic" w:cs="Arial"/>
          <w:b/>
          <w:sz w:val="20"/>
          <w:lang w:val="es-MX"/>
        </w:rPr>
        <w:t>IGUALDAD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926"/>
        <w:gridCol w:w="1760"/>
        <w:gridCol w:w="1845"/>
        <w:gridCol w:w="1581"/>
      </w:tblGrid>
      <w:tr w:rsidR="00BD106A" w:rsidRPr="00270555" w14:paraId="7103E9C2" w14:textId="77777777" w:rsidTr="00967CB0">
        <w:trPr>
          <w:trHeight w:val="135"/>
        </w:trPr>
        <w:tc>
          <w:tcPr>
            <w:tcW w:w="764" w:type="pct"/>
          </w:tcPr>
          <w:p w14:paraId="1EBB5B53" w14:textId="77777777" w:rsidR="00BD106A" w:rsidRPr="00270555" w:rsidRDefault="00BD106A" w:rsidP="00967CB0">
            <w:pPr>
              <w:pStyle w:val="Normal1"/>
              <w:jc w:val="both"/>
              <w:rPr>
                <w:rFonts w:ascii="Century Gothic" w:hAnsi="Century Gothic" w:cs="Arial"/>
                <w:b/>
                <w:color w:val="auto"/>
                <w:sz w:val="22"/>
                <w:szCs w:val="22"/>
              </w:rPr>
            </w:pPr>
          </w:p>
        </w:tc>
        <w:tc>
          <w:tcPr>
            <w:tcW w:w="1143" w:type="pct"/>
          </w:tcPr>
          <w:p w14:paraId="14AB3F25"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INTEGRANTES</w:t>
            </w:r>
          </w:p>
        </w:tc>
        <w:tc>
          <w:tcPr>
            <w:tcW w:w="1049" w:type="pct"/>
          </w:tcPr>
          <w:p w14:paraId="08A22691"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 FAVOR</w:t>
            </w:r>
          </w:p>
        </w:tc>
        <w:tc>
          <w:tcPr>
            <w:tcW w:w="1097" w:type="pct"/>
          </w:tcPr>
          <w:p w14:paraId="4FAE3E06"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EN CONTRA</w:t>
            </w:r>
          </w:p>
        </w:tc>
        <w:tc>
          <w:tcPr>
            <w:tcW w:w="947" w:type="pct"/>
          </w:tcPr>
          <w:p w14:paraId="6A8E529B" w14:textId="77777777" w:rsidR="00BD106A" w:rsidRPr="00270555" w:rsidRDefault="00BD106A" w:rsidP="00967CB0">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ABSTENCIÓN</w:t>
            </w:r>
          </w:p>
        </w:tc>
      </w:tr>
      <w:tr w:rsidR="00BD106A" w:rsidRPr="00270555" w14:paraId="4ECFAF36" w14:textId="77777777" w:rsidTr="00967CB0">
        <w:trPr>
          <w:trHeight w:val="135"/>
        </w:trPr>
        <w:tc>
          <w:tcPr>
            <w:tcW w:w="764" w:type="pct"/>
          </w:tcPr>
          <w:p w14:paraId="3E2BB56E" w14:textId="3EFE7DF4" w:rsidR="00BD106A" w:rsidRPr="00E45883" w:rsidRDefault="00BD106A" w:rsidP="00967CB0">
            <w:pPr>
              <w:pStyle w:val="Normal1"/>
              <w:jc w:val="both"/>
              <w:rPr>
                <w:rFonts w:ascii="Century Gothic" w:hAnsi="Century Gothic" w:cs="Arial"/>
                <w:b/>
                <w:noProof/>
                <w:color w:val="auto"/>
                <w:szCs w:val="24"/>
                <w:lang w:val="es-MX" w:eastAsia="es-MX"/>
              </w:rPr>
            </w:pPr>
            <w:r>
              <w:rPr>
                <w:noProof/>
              </w:rPr>
              <w:drawing>
                <wp:anchor distT="0" distB="0" distL="114300" distR="114300" simplePos="0" relativeHeight="251659264" behindDoc="1" locked="0" layoutInCell="1" allowOverlap="1" wp14:anchorId="57846EF9" wp14:editId="30B8DCE1">
                  <wp:simplePos x="0" y="0"/>
                  <wp:positionH relativeFrom="column">
                    <wp:posOffset>10795</wp:posOffset>
                  </wp:positionH>
                  <wp:positionV relativeFrom="paragraph">
                    <wp:posOffset>37465</wp:posOffset>
                  </wp:positionV>
                  <wp:extent cx="941705" cy="101854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705" cy="1018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2DDC23D7" w14:textId="77777777" w:rsidR="00BD106A" w:rsidRPr="00270555" w:rsidRDefault="00BD106A" w:rsidP="00967CB0">
            <w:pPr>
              <w:spacing w:after="0" w:line="240" w:lineRule="auto"/>
              <w:ind w:left="284" w:hanging="284"/>
              <w:contextualSpacing/>
              <w:jc w:val="both"/>
              <w:rPr>
                <w:rFonts w:ascii="Century Gothic" w:hAnsi="Century Gothic" w:cs="Arial"/>
                <w:b/>
                <w:bCs/>
                <w:sz w:val="24"/>
                <w:szCs w:val="24"/>
              </w:rPr>
            </w:pPr>
          </w:p>
          <w:p w14:paraId="7157B1A4" w14:textId="77777777" w:rsidR="00BD106A" w:rsidRPr="00270555" w:rsidRDefault="00BD106A" w:rsidP="00967CB0">
            <w:pPr>
              <w:spacing w:after="0" w:line="240" w:lineRule="auto"/>
              <w:ind w:left="284" w:hanging="284"/>
              <w:contextualSpacing/>
              <w:jc w:val="center"/>
              <w:rPr>
                <w:rFonts w:ascii="Century Gothic" w:hAnsi="Century Gothic" w:cs="Arial"/>
                <w:b/>
                <w:sz w:val="24"/>
                <w:szCs w:val="24"/>
              </w:rPr>
            </w:pPr>
            <w:r>
              <w:rPr>
                <w:rFonts w:ascii="Century Gothic" w:hAnsi="Century Gothic" w:cs="Arial"/>
                <w:b/>
                <w:bCs/>
                <w:sz w:val="24"/>
                <w:szCs w:val="24"/>
              </w:rPr>
              <w:t>DIP. IVÓN SALAZAR MORALES</w:t>
            </w:r>
          </w:p>
          <w:p w14:paraId="4C46C5CE" w14:textId="77777777" w:rsidR="00BD106A"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PRESIDENTA</w:t>
            </w:r>
          </w:p>
          <w:p w14:paraId="521F58F6" w14:textId="77777777" w:rsidR="00BD106A" w:rsidRPr="00AA42E0" w:rsidRDefault="00BD106A" w:rsidP="00967CB0">
            <w:pPr>
              <w:spacing w:after="0" w:line="240" w:lineRule="auto"/>
              <w:contextualSpacing/>
              <w:jc w:val="center"/>
              <w:rPr>
                <w:rFonts w:ascii="Century Gothic" w:hAnsi="Century Gothic" w:cs="Arial"/>
                <w:b/>
                <w:bCs/>
                <w:smallCaps/>
                <w:sz w:val="24"/>
                <w:szCs w:val="24"/>
              </w:rPr>
            </w:pPr>
          </w:p>
        </w:tc>
        <w:tc>
          <w:tcPr>
            <w:tcW w:w="1049" w:type="pct"/>
          </w:tcPr>
          <w:p w14:paraId="17A4A924"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22F98067" w14:textId="77777777" w:rsidR="00BD106A" w:rsidRPr="00AA42E0" w:rsidRDefault="00BD106A" w:rsidP="00967CB0">
            <w:pPr>
              <w:rPr>
                <w:lang w:val="es-ES" w:eastAsia="es-ES"/>
              </w:rPr>
            </w:pPr>
          </w:p>
        </w:tc>
        <w:tc>
          <w:tcPr>
            <w:tcW w:w="947" w:type="pct"/>
          </w:tcPr>
          <w:p w14:paraId="58BFBD58"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2A3AD556" w14:textId="77777777" w:rsidTr="00967CB0">
        <w:trPr>
          <w:trHeight w:val="1658"/>
        </w:trPr>
        <w:tc>
          <w:tcPr>
            <w:tcW w:w="764" w:type="pct"/>
          </w:tcPr>
          <w:p w14:paraId="10818715" w14:textId="5637DF0C" w:rsidR="00BD106A" w:rsidRPr="00270555" w:rsidRDefault="00BD106A" w:rsidP="00967CB0">
            <w:pPr>
              <w:pStyle w:val="Normal1"/>
              <w:jc w:val="both"/>
              <w:rPr>
                <w:rFonts w:ascii="Century Gothic" w:hAnsi="Century Gothic" w:cs="Arial"/>
                <w:b/>
                <w:color w:val="auto"/>
                <w:szCs w:val="24"/>
              </w:rPr>
            </w:pPr>
            <w:r>
              <w:rPr>
                <w:noProof/>
              </w:rPr>
              <w:drawing>
                <wp:anchor distT="0" distB="0" distL="114300" distR="114300" simplePos="0" relativeHeight="251660288" behindDoc="1" locked="0" layoutInCell="1" allowOverlap="1" wp14:anchorId="0EA22DA3" wp14:editId="77C83220">
                  <wp:simplePos x="0" y="0"/>
                  <wp:positionH relativeFrom="column">
                    <wp:posOffset>1270</wp:posOffset>
                  </wp:positionH>
                  <wp:positionV relativeFrom="paragraph">
                    <wp:posOffset>-3810</wp:posOffset>
                  </wp:positionV>
                  <wp:extent cx="933450" cy="105600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5427E9A6"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p>
          <w:p w14:paraId="1A3B67EA"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DIP. MARÍA ANTONIETA PÉREZ REYES</w:t>
            </w:r>
          </w:p>
          <w:p w14:paraId="740E30FB" w14:textId="77777777" w:rsidR="00BD106A" w:rsidRPr="00270555" w:rsidRDefault="00BD106A" w:rsidP="00967CB0">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SECRETARIA</w:t>
            </w:r>
          </w:p>
          <w:p w14:paraId="5F79F721" w14:textId="77777777" w:rsidR="00BD106A" w:rsidRPr="00270555" w:rsidRDefault="00BD106A" w:rsidP="00967CB0">
            <w:pPr>
              <w:pStyle w:val="Normal1"/>
              <w:rPr>
                <w:rFonts w:ascii="Century Gothic" w:hAnsi="Century Gothic" w:cs="Arial"/>
                <w:b/>
                <w:color w:val="auto"/>
                <w:sz w:val="22"/>
                <w:szCs w:val="22"/>
              </w:rPr>
            </w:pPr>
          </w:p>
        </w:tc>
        <w:tc>
          <w:tcPr>
            <w:tcW w:w="1049" w:type="pct"/>
          </w:tcPr>
          <w:p w14:paraId="650AA732"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64BD0CD1"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43A19E18"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4B34F243" w14:textId="77777777" w:rsidTr="00967CB0">
        <w:trPr>
          <w:trHeight w:val="1673"/>
        </w:trPr>
        <w:tc>
          <w:tcPr>
            <w:tcW w:w="764" w:type="pct"/>
          </w:tcPr>
          <w:p w14:paraId="2E171D2F" w14:textId="10B210B0" w:rsidR="00BD106A" w:rsidRPr="00270555" w:rsidRDefault="00BD106A" w:rsidP="00967CB0">
            <w:pPr>
              <w:pStyle w:val="Normal1"/>
              <w:jc w:val="both"/>
              <w:rPr>
                <w:color w:val="auto"/>
              </w:rPr>
            </w:pPr>
            <w:r>
              <w:rPr>
                <w:noProof/>
              </w:rPr>
              <w:drawing>
                <wp:anchor distT="0" distB="0" distL="114300" distR="114300" simplePos="0" relativeHeight="251661312" behindDoc="1" locked="0" layoutInCell="1" allowOverlap="1" wp14:anchorId="7EBD7E42" wp14:editId="47A499EE">
                  <wp:simplePos x="0" y="0"/>
                  <wp:positionH relativeFrom="column">
                    <wp:posOffset>1270</wp:posOffset>
                  </wp:positionH>
                  <wp:positionV relativeFrom="paragraph">
                    <wp:posOffset>36195</wp:posOffset>
                  </wp:positionV>
                  <wp:extent cx="933450" cy="1047115"/>
                  <wp:effectExtent l="0" t="0" r="0" b="63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75EDA" w14:textId="77777777" w:rsidR="00BD106A" w:rsidRPr="00270555" w:rsidRDefault="00BD106A" w:rsidP="00967CB0">
            <w:pPr>
              <w:pStyle w:val="Normal1"/>
              <w:jc w:val="both"/>
              <w:rPr>
                <w:rFonts w:ascii="Century Gothic" w:hAnsi="Century Gothic" w:cs="Arial"/>
                <w:b/>
                <w:color w:val="auto"/>
                <w:szCs w:val="24"/>
              </w:rPr>
            </w:pPr>
          </w:p>
        </w:tc>
        <w:tc>
          <w:tcPr>
            <w:tcW w:w="1143" w:type="pct"/>
          </w:tcPr>
          <w:p w14:paraId="468EB5AD"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6BDC7793"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DIP.</w:t>
            </w:r>
            <w:r>
              <w:rPr>
                <w:rFonts w:ascii="Century Gothic" w:hAnsi="Century Gothic" w:cs="Arial"/>
                <w:b/>
                <w:sz w:val="24"/>
                <w:szCs w:val="24"/>
              </w:rPr>
              <w:t xml:space="preserve"> MARISELA TERRAZAS MUÑOZ</w:t>
            </w:r>
          </w:p>
          <w:p w14:paraId="03E4386B"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Pr>
          <w:p w14:paraId="655517A4"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0C78E651"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15286EF2"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05F4E32B" w14:textId="77777777" w:rsidTr="00967CB0">
        <w:trPr>
          <w:trHeight w:val="1673"/>
        </w:trPr>
        <w:tc>
          <w:tcPr>
            <w:tcW w:w="764" w:type="pct"/>
          </w:tcPr>
          <w:p w14:paraId="493EBE98" w14:textId="38126482" w:rsidR="00BD106A" w:rsidRPr="00270555" w:rsidRDefault="00BD106A" w:rsidP="00967CB0">
            <w:pPr>
              <w:pStyle w:val="Normal1"/>
              <w:jc w:val="both"/>
              <w:rPr>
                <w:rFonts w:ascii="Century Gothic" w:hAnsi="Century Gothic" w:cs="Arial"/>
                <w:b/>
                <w:color w:val="auto"/>
                <w:szCs w:val="24"/>
              </w:rPr>
            </w:pPr>
            <w:r w:rsidRPr="009563A8">
              <w:rPr>
                <w:noProof/>
              </w:rPr>
              <w:drawing>
                <wp:inline distT="0" distB="0" distL="0" distR="0" wp14:anchorId="3907E04C" wp14:editId="26D8963E">
                  <wp:extent cx="885825" cy="10668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66800"/>
                          </a:xfrm>
                          <a:prstGeom prst="rect">
                            <a:avLst/>
                          </a:prstGeom>
                          <a:noFill/>
                          <a:ln>
                            <a:noFill/>
                          </a:ln>
                        </pic:spPr>
                      </pic:pic>
                    </a:graphicData>
                  </a:graphic>
                </wp:inline>
              </w:drawing>
            </w:r>
            <w:r>
              <w:rPr>
                <w:noProof/>
              </w:rPr>
              <w:drawing>
                <wp:anchor distT="0" distB="0" distL="114300" distR="114300" simplePos="0" relativeHeight="251662336" behindDoc="1" locked="0" layoutInCell="1" allowOverlap="1" wp14:anchorId="46A1A515" wp14:editId="645F537A">
                  <wp:simplePos x="0" y="0"/>
                  <wp:positionH relativeFrom="column">
                    <wp:posOffset>1270</wp:posOffset>
                  </wp:positionH>
                  <wp:positionV relativeFrom="paragraph">
                    <wp:posOffset>-5715</wp:posOffset>
                  </wp:positionV>
                  <wp:extent cx="885825" cy="1040765"/>
                  <wp:effectExtent l="0" t="0" r="9525"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Pr>
          <w:p w14:paraId="0722A749"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57785BBB"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 xml:space="preserve">IP. JAEL </w:t>
            </w:r>
            <w:proofErr w:type="gramStart"/>
            <w:r>
              <w:rPr>
                <w:rFonts w:ascii="Century Gothic" w:hAnsi="Century Gothic" w:cs="Arial"/>
                <w:b/>
                <w:sz w:val="24"/>
                <w:szCs w:val="24"/>
              </w:rPr>
              <w:t>ARGÜELLES  DÍAZ</w:t>
            </w:r>
            <w:proofErr w:type="gramEnd"/>
          </w:p>
          <w:p w14:paraId="3F640853" w14:textId="77777777" w:rsidR="00BD106A"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7BA02780" w14:textId="0ADB3FF6" w:rsidR="00BD106A" w:rsidRPr="00270555" w:rsidRDefault="006C6374" w:rsidP="00967CB0">
            <w:pPr>
              <w:spacing w:after="0" w:line="240" w:lineRule="auto"/>
              <w:contextualSpacing/>
              <w:jc w:val="center"/>
              <w:rPr>
                <w:rFonts w:ascii="Century Gothic" w:hAnsi="Century Gothic" w:cs="Arial"/>
                <w:b/>
                <w:sz w:val="24"/>
                <w:szCs w:val="24"/>
              </w:rPr>
            </w:pPr>
            <w:r>
              <w:rPr>
                <w:rFonts w:ascii="Century Gothic" w:hAnsi="Century Gothic" w:cs="Arial"/>
                <w:b/>
                <w:noProof/>
                <w:sz w:val="24"/>
                <w:szCs w:val="24"/>
              </w:rPr>
              <mc:AlternateContent>
                <mc:Choice Requires="wps">
                  <w:drawing>
                    <wp:anchor distT="0" distB="0" distL="114300" distR="114300" simplePos="0" relativeHeight="251664384" behindDoc="0" locked="0" layoutInCell="1" allowOverlap="1" wp14:anchorId="18317E43" wp14:editId="06A4BA56">
                      <wp:simplePos x="0" y="0"/>
                      <wp:positionH relativeFrom="column">
                        <wp:posOffset>1139825</wp:posOffset>
                      </wp:positionH>
                      <wp:positionV relativeFrom="paragraph">
                        <wp:posOffset>188595</wp:posOffset>
                      </wp:positionV>
                      <wp:extent cx="1123950" cy="1038225"/>
                      <wp:effectExtent l="0" t="0" r="19050" b="28575"/>
                      <wp:wrapNone/>
                      <wp:docPr id="1" name="Conector recto 1"/>
                      <wp:cNvGraphicFramePr/>
                      <a:graphic xmlns:a="http://schemas.openxmlformats.org/drawingml/2006/main">
                        <a:graphicData uri="http://schemas.microsoft.com/office/word/2010/wordprocessingShape">
                          <wps:wsp>
                            <wps:cNvCnPr/>
                            <wps:spPr>
                              <a:xfrm flipV="1">
                                <a:off x="0" y="0"/>
                                <a:ext cx="1123950" cy="1038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9AA76" id="Conector recto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9.75pt,14.85pt" to="178.25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" strokecolor="#4472c4 [3204]" strokeweight=".5pt">
                      <v:stroke joinstyle="miter"/>
                    </v:line>
                  </w:pict>
                </mc:Fallback>
              </mc:AlternateContent>
            </w:r>
          </w:p>
        </w:tc>
        <w:tc>
          <w:tcPr>
            <w:tcW w:w="1049" w:type="pct"/>
          </w:tcPr>
          <w:p w14:paraId="4A18410D" w14:textId="77777777" w:rsidR="00BD106A" w:rsidRPr="00270555" w:rsidRDefault="00BD106A" w:rsidP="00967CB0">
            <w:pPr>
              <w:pStyle w:val="Normal1"/>
              <w:jc w:val="both"/>
              <w:rPr>
                <w:rFonts w:ascii="Century Gothic" w:hAnsi="Century Gothic" w:cs="Arial"/>
                <w:b/>
                <w:color w:val="auto"/>
                <w:szCs w:val="24"/>
              </w:rPr>
            </w:pPr>
          </w:p>
        </w:tc>
        <w:tc>
          <w:tcPr>
            <w:tcW w:w="1097" w:type="pct"/>
          </w:tcPr>
          <w:p w14:paraId="1F846AC3" w14:textId="77777777" w:rsidR="00BD106A" w:rsidRPr="00270555" w:rsidRDefault="00BD106A" w:rsidP="00967CB0">
            <w:pPr>
              <w:pStyle w:val="Normal1"/>
              <w:jc w:val="both"/>
              <w:rPr>
                <w:rFonts w:ascii="Century Gothic" w:hAnsi="Century Gothic" w:cs="Arial"/>
                <w:b/>
                <w:color w:val="auto"/>
                <w:szCs w:val="24"/>
              </w:rPr>
            </w:pPr>
          </w:p>
        </w:tc>
        <w:tc>
          <w:tcPr>
            <w:tcW w:w="947" w:type="pct"/>
          </w:tcPr>
          <w:p w14:paraId="360088EB" w14:textId="77777777" w:rsidR="00BD106A" w:rsidRPr="00270555" w:rsidRDefault="00BD106A" w:rsidP="00967CB0">
            <w:pPr>
              <w:pStyle w:val="Normal1"/>
              <w:jc w:val="both"/>
              <w:rPr>
                <w:rFonts w:ascii="Century Gothic" w:hAnsi="Century Gothic" w:cs="Arial"/>
                <w:b/>
                <w:color w:val="auto"/>
                <w:szCs w:val="24"/>
              </w:rPr>
            </w:pPr>
          </w:p>
          <w:p w14:paraId="4D915D30" w14:textId="77777777" w:rsidR="00BD106A" w:rsidRPr="00270555" w:rsidRDefault="00BD106A" w:rsidP="00967CB0">
            <w:pPr>
              <w:rPr>
                <w:lang w:val="es-ES" w:eastAsia="es-ES"/>
              </w:rPr>
            </w:pPr>
          </w:p>
          <w:p w14:paraId="5CB0CEA8" w14:textId="77777777" w:rsidR="00BD106A" w:rsidRPr="00270555" w:rsidRDefault="00BD106A" w:rsidP="00967CB0">
            <w:pPr>
              <w:rPr>
                <w:lang w:val="es-ES" w:eastAsia="es-ES"/>
              </w:rPr>
            </w:pPr>
          </w:p>
        </w:tc>
      </w:tr>
      <w:tr w:rsidR="00BD106A" w:rsidRPr="00270555" w14:paraId="2ED3DA3E" w14:textId="77777777" w:rsidTr="00967CB0">
        <w:trPr>
          <w:trHeight w:val="1518"/>
        </w:trPr>
        <w:tc>
          <w:tcPr>
            <w:tcW w:w="764" w:type="pct"/>
          </w:tcPr>
          <w:p w14:paraId="1EBB9DD3" w14:textId="41CC5FBB" w:rsidR="00BD106A" w:rsidRPr="00270555" w:rsidRDefault="00BD106A" w:rsidP="00967CB0">
            <w:pPr>
              <w:pStyle w:val="Normal1"/>
              <w:jc w:val="both"/>
              <w:rPr>
                <w:rFonts w:ascii="Century Gothic" w:hAnsi="Century Gothic" w:cs="Arial"/>
                <w:b/>
                <w:color w:val="auto"/>
                <w:szCs w:val="24"/>
              </w:rPr>
            </w:pPr>
            <w:r w:rsidRPr="00DE638A">
              <w:rPr>
                <w:rFonts w:ascii="Century Gothic" w:hAnsi="Century Gothic" w:cs="Arial"/>
                <w:b/>
                <w:noProof/>
                <w:color w:val="auto"/>
                <w:szCs w:val="24"/>
                <w:lang w:val="es-MX" w:eastAsia="es-MX"/>
              </w:rPr>
              <w:drawing>
                <wp:inline distT="0" distB="0" distL="0" distR="0" wp14:anchorId="7E349A99" wp14:editId="2572D7C5">
                  <wp:extent cx="933450" cy="1019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1019175"/>
                          </a:xfrm>
                          <a:prstGeom prst="rect">
                            <a:avLst/>
                          </a:prstGeom>
                          <a:noFill/>
                          <a:ln>
                            <a:noFill/>
                          </a:ln>
                        </pic:spPr>
                      </pic:pic>
                    </a:graphicData>
                  </a:graphic>
                </wp:inline>
              </w:drawing>
            </w:r>
          </w:p>
        </w:tc>
        <w:tc>
          <w:tcPr>
            <w:tcW w:w="1143" w:type="pct"/>
          </w:tcPr>
          <w:p w14:paraId="1EA259C8" w14:textId="77777777" w:rsidR="00BD106A" w:rsidRPr="00270555" w:rsidRDefault="00BD106A" w:rsidP="00967CB0">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ANA GEORGINA ZAPATA LUCERO</w:t>
            </w:r>
          </w:p>
          <w:p w14:paraId="555B14FD" w14:textId="77777777" w:rsidR="00BD106A" w:rsidRPr="00E45883"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Pr>
          <w:p w14:paraId="224104C1" w14:textId="5A432DCF" w:rsidR="00BD106A" w:rsidRPr="00270555" w:rsidRDefault="006C6374"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5408" behindDoc="0" locked="0" layoutInCell="1" allowOverlap="1" wp14:anchorId="5E413A6F" wp14:editId="1B7A00AC">
                      <wp:simplePos x="0" y="0"/>
                      <wp:positionH relativeFrom="column">
                        <wp:posOffset>1040764</wp:posOffset>
                      </wp:positionH>
                      <wp:positionV relativeFrom="paragraph">
                        <wp:posOffset>24130</wp:posOffset>
                      </wp:positionV>
                      <wp:extent cx="1133475" cy="9906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1133475"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C3A47" id="Conector recto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81.95pt,1.9pt" to="171.2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" strokecolor="#4472c4 [3204]" strokeweight=".5pt">
                      <v:stroke joinstyle="miter"/>
                    </v:line>
                  </w:pict>
                </mc:Fallback>
              </mc:AlternateContent>
            </w:r>
          </w:p>
        </w:tc>
        <w:tc>
          <w:tcPr>
            <w:tcW w:w="1097" w:type="pct"/>
          </w:tcPr>
          <w:p w14:paraId="33602799" w14:textId="5583A62A" w:rsidR="00BD106A" w:rsidRPr="00270555" w:rsidRDefault="006C6374"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6432" behindDoc="0" locked="0" layoutInCell="1" allowOverlap="1" wp14:anchorId="368A79C4" wp14:editId="713BF4B0">
                      <wp:simplePos x="0" y="0"/>
                      <wp:positionH relativeFrom="column">
                        <wp:posOffset>1094739</wp:posOffset>
                      </wp:positionH>
                      <wp:positionV relativeFrom="paragraph">
                        <wp:posOffset>14605</wp:posOffset>
                      </wp:positionV>
                      <wp:extent cx="981075" cy="1019175"/>
                      <wp:effectExtent l="0" t="0" r="28575" b="28575"/>
                      <wp:wrapNone/>
                      <wp:docPr id="3" name="Conector recto 3"/>
                      <wp:cNvGraphicFramePr/>
                      <a:graphic xmlns:a="http://schemas.openxmlformats.org/drawingml/2006/main">
                        <a:graphicData uri="http://schemas.microsoft.com/office/word/2010/wordprocessingShape">
                          <wps:wsp>
                            <wps:cNvCnPr/>
                            <wps:spPr>
                              <a:xfrm flipV="1">
                                <a:off x="0" y="0"/>
                                <a:ext cx="981075" cy="1019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2CAA6" id="Conector recto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86.2pt,1.15pt" to="163.4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" strokecolor="#4472c4 [3204]" strokeweight=".5pt">
                      <v:stroke joinstyle="miter"/>
                    </v:line>
                  </w:pict>
                </mc:Fallback>
              </mc:AlternateContent>
            </w:r>
          </w:p>
        </w:tc>
        <w:tc>
          <w:tcPr>
            <w:tcW w:w="947" w:type="pct"/>
          </w:tcPr>
          <w:p w14:paraId="0ADBD700" w14:textId="77777777" w:rsidR="00BD106A" w:rsidRPr="00270555" w:rsidRDefault="00BD106A" w:rsidP="00967CB0">
            <w:pPr>
              <w:pStyle w:val="Normal1"/>
              <w:jc w:val="both"/>
              <w:rPr>
                <w:rFonts w:ascii="Century Gothic" w:hAnsi="Century Gothic" w:cs="Arial"/>
                <w:b/>
                <w:color w:val="auto"/>
                <w:szCs w:val="24"/>
              </w:rPr>
            </w:pPr>
          </w:p>
        </w:tc>
      </w:tr>
      <w:tr w:rsidR="00BD106A" w:rsidRPr="00270555" w14:paraId="7E06FF3E" w14:textId="77777777" w:rsidTr="00967CB0">
        <w:trPr>
          <w:trHeight w:val="1673"/>
        </w:trPr>
        <w:tc>
          <w:tcPr>
            <w:tcW w:w="764" w:type="pct"/>
            <w:tcBorders>
              <w:top w:val="single" w:sz="4" w:space="0" w:color="auto"/>
              <w:left w:val="single" w:sz="4" w:space="0" w:color="auto"/>
              <w:bottom w:val="single" w:sz="4" w:space="0" w:color="auto"/>
              <w:right w:val="single" w:sz="4" w:space="0" w:color="auto"/>
            </w:tcBorders>
          </w:tcPr>
          <w:p w14:paraId="10683BB1" w14:textId="740A714E" w:rsidR="00BD106A" w:rsidRPr="00E45883" w:rsidRDefault="00BD106A" w:rsidP="00967CB0">
            <w:pPr>
              <w:pStyle w:val="Normal1"/>
              <w:jc w:val="both"/>
              <w:rPr>
                <w:rFonts w:ascii="Century Gothic" w:hAnsi="Century Gothic" w:cs="Arial"/>
                <w:b/>
                <w:noProof/>
                <w:color w:val="auto"/>
                <w:szCs w:val="24"/>
                <w:lang w:val="es-MX" w:eastAsia="es-MX"/>
              </w:rPr>
            </w:pPr>
            <w:r>
              <w:rPr>
                <w:noProof/>
              </w:rPr>
              <w:lastRenderedPageBreak/>
              <w:drawing>
                <wp:anchor distT="0" distB="0" distL="114300" distR="114300" simplePos="0" relativeHeight="251663360" behindDoc="1" locked="0" layoutInCell="1" allowOverlap="1" wp14:anchorId="42470141" wp14:editId="12738037">
                  <wp:simplePos x="0" y="0"/>
                  <wp:positionH relativeFrom="column">
                    <wp:posOffset>-17780</wp:posOffset>
                  </wp:positionH>
                  <wp:positionV relativeFrom="paragraph">
                    <wp:posOffset>25400</wp:posOffset>
                  </wp:positionV>
                  <wp:extent cx="1000125" cy="10382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3" w:type="pct"/>
            <w:tcBorders>
              <w:top w:val="single" w:sz="4" w:space="0" w:color="auto"/>
              <w:left w:val="single" w:sz="4" w:space="0" w:color="auto"/>
              <w:bottom w:val="single" w:sz="4" w:space="0" w:color="auto"/>
              <w:right w:val="single" w:sz="4" w:space="0" w:color="auto"/>
            </w:tcBorders>
          </w:tcPr>
          <w:p w14:paraId="09C6AD80" w14:textId="77777777" w:rsidR="00BD106A" w:rsidRPr="00270555" w:rsidRDefault="00BD106A" w:rsidP="00967CB0">
            <w:pPr>
              <w:spacing w:after="0" w:line="240" w:lineRule="auto"/>
              <w:contextualSpacing/>
              <w:jc w:val="center"/>
              <w:rPr>
                <w:rFonts w:ascii="Century Gothic" w:hAnsi="Century Gothic" w:cs="Arial"/>
                <w:b/>
                <w:sz w:val="24"/>
                <w:szCs w:val="24"/>
              </w:rPr>
            </w:pPr>
          </w:p>
          <w:p w14:paraId="25FAC3D2"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IP. ROSA ISELA MARTÍNEZ DÍAZ</w:t>
            </w:r>
          </w:p>
          <w:p w14:paraId="20370B3C" w14:textId="77777777" w:rsidR="00BD106A" w:rsidRPr="00270555"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Borders>
              <w:top w:val="single" w:sz="4" w:space="0" w:color="auto"/>
              <w:left w:val="single" w:sz="4" w:space="0" w:color="auto"/>
              <w:bottom w:val="single" w:sz="4" w:space="0" w:color="auto"/>
              <w:right w:val="single" w:sz="4" w:space="0" w:color="auto"/>
            </w:tcBorders>
          </w:tcPr>
          <w:p w14:paraId="7AB6BC42" w14:textId="57AB414E" w:rsidR="00BD106A" w:rsidRPr="00270555" w:rsidRDefault="00BD106A" w:rsidP="00967CB0">
            <w:pPr>
              <w:pStyle w:val="Normal1"/>
              <w:jc w:val="both"/>
              <w:rPr>
                <w:rFonts w:ascii="Century Gothic" w:hAnsi="Century Gothic" w:cs="Arial"/>
                <w:b/>
                <w:color w:val="auto"/>
                <w:szCs w:val="24"/>
              </w:rPr>
            </w:pPr>
          </w:p>
        </w:tc>
        <w:tc>
          <w:tcPr>
            <w:tcW w:w="1097" w:type="pct"/>
            <w:tcBorders>
              <w:top w:val="single" w:sz="4" w:space="0" w:color="auto"/>
              <w:left w:val="single" w:sz="4" w:space="0" w:color="auto"/>
              <w:bottom w:val="single" w:sz="4" w:space="0" w:color="auto"/>
              <w:right w:val="single" w:sz="4" w:space="0" w:color="auto"/>
            </w:tcBorders>
          </w:tcPr>
          <w:p w14:paraId="4F612A69" w14:textId="0740DB57" w:rsidR="00BD106A" w:rsidRPr="00270555" w:rsidRDefault="00BD106A" w:rsidP="00967CB0">
            <w:pPr>
              <w:pStyle w:val="Normal1"/>
              <w:jc w:val="both"/>
              <w:rPr>
                <w:rFonts w:ascii="Century Gothic" w:hAnsi="Century Gothic" w:cs="Arial"/>
                <w:b/>
                <w:color w:val="auto"/>
                <w:szCs w:val="24"/>
              </w:rPr>
            </w:pPr>
          </w:p>
        </w:tc>
        <w:tc>
          <w:tcPr>
            <w:tcW w:w="947" w:type="pct"/>
            <w:tcBorders>
              <w:top w:val="single" w:sz="4" w:space="0" w:color="auto"/>
              <w:left w:val="single" w:sz="4" w:space="0" w:color="auto"/>
              <w:bottom w:val="single" w:sz="4" w:space="0" w:color="auto"/>
              <w:right w:val="single" w:sz="4" w:space="0" w:color="auto"/>
            </w:tcBorders>
          </w:tcPr>
          <w:p w14:paraId="5DA4D07D" w14:textId="77777777" w:rsidR="00BD106A" w:rsidRPr="00270555" w:rsidRDefault="00BD106A" w:rsidP="00967CB0">
            <w:pPr>
              <w:pStyle w:val="Normal1"/>
              <w:jc w:val="both"/>
              <w:rPr>
                <w:rFonts w:ascii="Century Gothic" w:hAnsi="Century Gothic" w:cs="Arial"/>
                <w:b/>
                <w:color w:val="auto"/>
                <w:szCs w:val="24"/>
              </w:rPr>
            </w:pPr>
          </w:p>
          <w:p w14:paraId="16DF3D27" w14:textId="77777777" w:rsidR="00BD106A" w:rsidRPr="00E45883" w:rsidRDefault="00BD106A" w:rsidP="00967CB0">
            <w:pPr>
              <w:pStyle w:val="Normal1"/>
              <w:jc w:val="both"/>
              <w:rPr>
                <w:rFonts w:ascii="Century Gothic" w:hAnsi="Century Gothic" w:cs="Arial"/>
                <w:b/>
                <w:color w:val="auto"/>
                <w:szCs w:val="24"/>
              </w:rPr>
            </w:pPr>
          </w:p>
          <w:p w14:paraId="0D39D0AC" w14:textId="77777777" w:rsidR="00BD106A" w:rsidRPr="00E45883" w:rsidRDefault="00BD106A" w:rsidP="00967CB0">
            <w:pPr>
              <w:pStyle w:val="Normal1"/>
              <w:jc w:val="both"/>
              <w:rPr>
                <w:rFonts w:ascii="Century Gothic" w:hAnsi="Century Gothic" w:cs="Arial"/>
                <w:b/>
                <w:color w:val="auto"/>
                <w:szCs w:val="24"/>
              </w:rPr>
            </w:pPr>
          </w:p>
        </w:tc>
      </w:tr>
      <w:tr w:rsidR="00BD106A" w:rsidRPr="00270555" w14:paraId="08FC3E1C" w14:textId="77777777" w:rsidTr="00967CB0">
        <w:trPr>
          <w:trHeight w:val="1488"/>
        </w:trPr>
        <w:tc>
          <w:tcPr>
            <w:tcW w:w="764" w:type="pct"/>
            <w:tcBorders>
              <w:top w:val="single" w:sz="4" w:space="0" w:color="auto"/>
              <w:left w:val="single" w:sz="4" w:space="0" w:color="auto"/>
              <w:bottom w:val="single" w:sz="4" w:space="0" w:color="auto"/>
              <w:right w:val="single" w:sz="4" w:space="0" w:color="auto"/>
            </w:tcBorders>
          </w:tcPr>
          <w:p w14:paraId="6D7AE688" w14:textId="579652D4" w:rsidR="00BD106A" w:rsidRPr="00E45883" w:rsidRDefault="00BD106A" w:rsidP="00967CB0">
            <w:pPr>
              <w:pStyle w:val="Normal1"/>
              <w:jc w:val="both"/>
              <w:rPr>
                <w:rFonts w:ascii="Century Gothic" w:hAnsi="Century Gothic" w:cs="Arial"/>
                <w:b/>
                <w:noProof/>
                <w:color w:val="auto"/>
                <w:szCs w:val="24"/>
                <w:lang w:val="es-MX" w:eastAsia="es-MX"/>
              </w:rPr>
            </w:pPr>
            <w:r w:rsidRPr="00DE638A">
              <w:rPr>
                <w:rFonts w:ascii="Century Gothic" w:hAnsi="Century Gothic" w:cs="Arial"/>
                <w:b/>
                <w:noProof/>
                <w:color w:val="auto"/>
                <w:szCs w:val="24"/>
                <w:lang w:val="es-MX" w:eastAsia="es-MX"/>
              </w:rPr>
              <w:drawing>
                <wp:inline distT="0" distB="0" distL="0" distR="0" wp14:anchorId="431BDB5D" wp14:editId="74AE238A">
                  <wp:extent cx="942975" cy="10001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a:ln>
                            <a:noFill/>
                          </a:ln>
                        </pic:spPr>
                      </pic:pic>
                    </a:graphicData>
                  </a:graphic>
                </wp:inline>
              </w:drawing>
            </w:r>
          </w:p>
        </w:tc>
        <w:tc>
          <w:tcPr>
            <w:tcW w:w="1143" w:type="pct"/>
            <w:tcBorders>
              <w:top w:val="single" w:sz="4" w:space="0" w:color="auto"/>
              <w:left w:val="single" w:sz="4" w:space="0" w:color="auto"/>
              <w:bottom w:val="single" w:sz="4" w:space="0" w:color="auto"/>
              <w:right w:val="single" w:sz="4" w:space="0" w:color="auto"/>
            </w:tcBorders>
          </w:tcPr>
          <w:p w14:paraId="1EEAD6BC" w14:textId="2506DD62" w:rsidR="00BD106A" w:rsidRPr="00270555" w:rsidRDefault="006C6374" w:rsidP="00967CB0">
            <w:pPr>
              <w:spacing w:after="0" w:line="240" w:lineRule="auto"/>
              <w:contextualSpacing/>
              <w:jc w:val="center"/>
              <w:rPr>
                <w:rFonts w:ascii="Century Gothic" w:hAnsi="Century Gothic" w:cs="Arial"/>
                <w:b/>
                <w:sz w:val="24"/>
                <w:szCs w:val="24"/>
              </w:rPr>
            </w:pPr>
            <w:r>
              <w:rPr>
                <w:rFonts w:ascii="Century Gothic" w:hAnsi="Century Gothic" w:cs="Arial"/>
                <w:b/>
                <w:noProof/>
                <w:sz w:val="24"/>
                <w:szCs w:val="24"/>
              </w:rPr>
              <mc:AlternateContent>
                <mc:Choice Requires="wps">
                  <w:drawing>
                    <wp:anchor distT="0" distB="0" distL="114300" distR="114300" simplePos="0" relativeHeight="251669504" behindDoc="0" locked="0" layoutInCell="1" allowOverlap="1" wp14:anchorId="1367C914" wp14:editId="1FD96AD4">
                      <wp:simplePos x="0" y="0"/>
                      <wp:positionH relativeFrom="column">
                        <wp:posOffset>1139825</wp:posOffset>
                      </wp:positionH>
                      <wp:positionV relativeFrom="paragraph">
                        <wp:posOffset>17780</wp:posOffset>
                      </wp:positionV>
                      <wp:extent cx="1123950" cy="981075"/>
                      <wp:effectExtent l="0" t="0" r="19050" b="28575"/>
                      <wp:wrapNone/>
                      <wp:docPr id="14" name="Conector recto 14"/>
                      <wp:cNvGraphicFramePr/>
                      <a:graphic xmlns:a="http://schemas.openxmlformats.org/drawingml/2006/main">
                        <a:graphicData uri="http://schemas.microsoft.com/office/word/2010/wordprocessingShape">
                          <wps:wsp>
                            <wps:cNvCnPr/>
                            <wps:spPr>
                              <a:xfrm flipV="1">
                                <a:off x="0" y="0"/>
                                <a:ext cx="1123950"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B60B0" id="Conector recto 1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9.75pt,1.4pt" to="178.2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" strokecolor="#4472c4 [3204]" strokeweight=".5pt">
                      <v:stroke joinstyle="miter"/>
                    </v:line>
                  </w:pict>
                </mc:Fallback>
              </mc:AlternateContent>
            </w:r>
          </w:p>
          <w:p w14:paraId="323CB05B" w14:textId="77777777" w:rsidR="00BD106A" w:rsidRPr="00270555" w:rsidRDefault="00BD106A" w:rsidP="00967CB0">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LETICIA ORTEGA MÁYNEZ</w:t>
            </w:r>
          </w:p>
          <w:p w14:paraId="5D466687" w14:textId="77777777" w:rsidR="00BD106A" w:rsidRPr="00E45883" w:rsidRDefault="00BD106A" w:rsidP="00967CB0">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1049" w:type="pct"/>
            <w:tcBorders>
              <w:top w:val="single" w:sz="4" w:space="0" w:color="auto"/>
              <w:left w:val="single" w:sz="4" w:space="0" w:color="auto"/>
              <w:bottom w:val="single" w:sz="4" w:space="0" w:color="auto"/>
              <w:right w:val="single" w:sz="4" w:space="0" w:color="auto"/>
            </w:tcBorders>
          </w:tcPr>
          <w:p w14:paraId="70D83037" w14:textId="05E17730" w:rsidR="00BD106A" w:rsidRPr="00270555" w:rsidRDefault="00BD106A" w:rsidP="00967CB0">
            <w:pPr>
              <w:pStyle w:val="Normal1"/>
              <w:jc w:val="both"/>
              <w:rPr>
                <w:rFonts w:ascii="Century Gothic" w:hAnsi="Century Gothic" w:cs="Arial"/>
                <w:b/>
                <w:color w:val="auto"/>
                <w:szCs w:val="24"/>
              </w:rPr>
            </w:pPr>
          </w:p>
        </w:tc>
        <w:tc>
          <w:tcPr>
            <w:tcW w:w="1097" w:type="pct"/>
            <w:tcBorders>
              <w:top w:val="single" w:sz="4" w:space="0" w:color="auto"/>
              <w:left w:val="single" w:sz="4" w:space="0" w:color="auto"/>
              <w:bottom w:val="single" w:sz="4" w:space="0" w:color="auto"/>
              <w:right w:val="single" w:sz="4" w:space="0" w:color="auto"/>
            </w:tcBorders>
          </w:tcPr>
          <w:p w14:paraId="30BEB2C1" w14:textId="35656AAA" w:rsidR="00BD106A" w:rsidRPr="00270555" w:rsidRDefault="006C6374" w:rsidP="00967CB0">
            <w:pPr>
              <w:pStyle w:val="Normal1"/>
              <w:jc w:val="both"/>
              <w:rPr>
                <w:rFonts w:ascii="Century Gothic" w:hAnsi="Century Gothic" w:cs="Arial"/>
                <w:b/>
                <w:color w:val="auto"/>
                <w:szCs w:val="24"/>
              </w:rPr>
            </w:pPr>
            <w:r>
              <w:rPr>
                <w:rFonts w:ascii="Century Gothic" w:hAnsi="Century Gothic" w:cs="Arial"/>
                <w:noProof/>
                <w:sz w:val="18"/>
                <w:szCs w:val="18"/>
              </w:rPr>
              <mc:AlternateContent>
                <mc:Choice Requires="wps">
                  <w:drawing>
                    <wp:anchor distT="0" distB="0" distL="114300" distR="114300" simplePos="0" relativeHeight="251667456" behindDoc="0" locked="0" layoutInCell="1" allowOverlap="1" wp14:anchorId="40080239" wp14:editId="07AC1E22">
                      <wp:simplePos x="0" y="0"/>
                      <wp:positionH relativeFrom="column">
                        <wp:posOffset>-76835</wp:posOffset>
                      </wp:positionH>
                      <wp:positionV relativeFrom="paragraph">
                        <wp:posOffset>-29845</wp:posOffset>
                      </wp:positionV>
                      <wp:extent cx="1133475" cy="1028700"/>
                      <wp:effectExtent l="0" t="0" r="28575" b="19050"/>
                      <wp:wrapNone/>
                      <wp:docPr id="4" name="Conector recto 4"/>
                      <wp:cNvGraphicFramePr/>
                      <a:graphic xmlns:a="http://schemas.openxmlformats.org/drawingml/2006/main">
                        <a:graphicData uri="http://schemas.microsoft.com/office/word/2010/wordprocessingShape">
                          <wps:wsp>
                            <wps:cNvCnPr/>
                            <wps:spPr>
                              <a:xfrm flipV="1">
                                <a:off x="0" y="0"/>
                                <a:ext cx="1133475"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ECA69" id="Conector recto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2.35pt" to="83.2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" strokecolor="#4472c4 [3204]" strokeweight=".5pt">
                      <v:stroke joinstyle="miter"/>
                    </v:line>
                  </w:pict>
                </mc:Fallback>
              </mc:AlternateContent>
            </w:r>
          </w:p>
        </w:tc>
        <w:tc>
          <w:tcPr>
            <w:tcW w:w="947" w:type="pct"/>
            <w:tcBorders>
              <w:top w:val="single" w:sz="4" w:space="0" w:color="auto"/>
              <w:left w:val="single" w:sz="4" w:space="0" w:color="auto"/>
              <w:bottom w:val="single" w:sz="4" w:space="0" w:color="auto"/>
              <w:right w:val="single" w:sz="4" w:space="0" w:color="auto"/>
            </w:tcBorders>
          </w:tcPr>
          <w:p w14:paraId="1EDC6ADC" w14:textId="5FF52586" w:rsidR="00BD106A" w:rsidRPr="00270555" w:rsidRDefault="006C6374" w:rsidP="00967CB0">
            <w:pPr>
              <w:pStyle w:val="Normal1"/>
              <w:jc w:val="both"/>
              <w:rPr>
                <w:rFonts w:ascii="Century Gothic" w:hAnsi="Century Gothic" w:cs="Arial"/>
                <w:b/>
                <w:color w:val="auto"/>
                <w:szCs w:val="24"/>
              </w:rPr>
            </w:pPr>
            <w:r>
              <w:rPr>
                <w:rFonts w:ascii="Century Gothic" w:hAnsi="Century Gothic" w:cs="Arial"/>
                <w:b/>
                <w:noProof/>
                <w:color w:val="auto"/>
                <w:szCs w:val="24"/>
              </w:rPr>
              <mc:AlternateContent>
                <mc:Choice Requires="wps">
                  <w:drawing>
                    <wp:anchor distT="0" distB="0" distL="114300" distR="114300" simplePos="0" relativeHeight="251668480" behindDoc="0" locked="0" layoutInCell="1" allowOverlap="1" wp14:anchorId="37F8ABD3" wp14:editId="4F5758E6">
                      <wp:simplePos x="0" y="0"/>
                      <wp:positionH relativeFrom="column">
                        <wp:posOffset>-76836</wp:posOffset>
                      </wp:positionH>
                      <wp:positionV relativeFrom="paragraph">
                        <wp:posOffset>27305</wp:posOffset>
                      </wp:positionV>
                      <wp:extent cx="1000125" cy="981075"/>
                      <wp:effectExtent l="0" t="0" r="28575" b="28575"/>
                      <wp:wrapNone/>
                      <wp:docPr id="5" name="Conector recto 5"/>
                      <wp:cNvGraphicFramePr/>
                      <a:graphic xmlns:a="http://schemas.openxmlformats.org/drawingml/2006/main">
                        <a:graphicData uri="http://schemas.microsoft.com/office/word/2010/wordprocessingShape">
                          <wps:wsp>
                            <wps:cNvCnPr/>
                            <wps:spPr>
                              <a:xfrm flipV="1">
                                <a:off x="0" y="0"/>
                                <a:ext cx="1000125"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FCE69" id="Conector recto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2.15pt" to="72.7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" strokecolor="#4472c4 [3204]" strokeweight=".5pt">
                      <v:stroke joinstyle="miter"/>
                    </v:line>
                  </w:pict>
                </mc:Fallback>
              </mc:AlternateContent>
            </w:r>
          </w:p>
        </w:tc>
      </w:tr>
    </w:tbl>
    <w:p w14:paraId="182A0EB1" w14:textId="2D2E5A5D" w:rsidR="00A30C36" w:rsidRDefault="00034F62" w:rsidP="0061716E">
      <w:pPr>
        <w:jc w:val="both"/>
        <w:rPr>
          <w:rFonts w:ascii="Century Gothic" w:hAnsi="Century Gothic" w:cs="Arial"/>
          <w:sz w:val="18"/>
          <w:szCs w:val="18"/>
        </w:rPr>
      </w:pPr>
      <w:r w:rsidRPr="008327A7">
        <w:rPr>
          <w:rFonts w:ascii="Century Gothic" w:hAnsi="Century Gothic" w:cs="Arial"/>
          <w:sz w:val="18"/>
          <w:szCs w:val="18"/>
        </w:rPr>
        <w:t xml:space="preserve">Nota: La presente hoja de firmas corresponde al Dictamen de la Comisión de </w:t>
      </w:r>
      <w:r w:rsidR="00BD106A" w:rsidRPr="008327A7">
        <w:rPr>
          <w:rFonts w:ascii="Century Gothic" w:hAnsi="Century Gothic" w:cs="Arial"/>
          <w:sz w:val="18"/>
          <w:szCs w:val="18"/>
        </w:rPr>
        <w:t>Igualdad</w:t>
      </w:r>
      <w:r w:rsidRPr="008327A7">
        <w:rPr>
          <w:rFonts w:ascii="Century Gothic" w:hAnsi="Century Gothic" w:cs="Arial"/>
          <w:sz w:val="18"/>
          <w:szCs w:val="18"/>
        </w:rPr>
        <w:t xml:space="preserve">, que recae en la iniciativa identificada con el número </w:t>
      </w:r>
      <w:r w:rsidR="000658E8">
        <w:rPr>
          <w:rFonts w:ascii="Century Gothic" w:hAnsi="Century Gothic" w:cs="Arial"/>
          <w:sz w:val="18"/>
          <w:szCs w:val="18"/>
        </w:rPr>
        <w:t>2</w:t>
      </w:r>
      <w:r w:rsidR="00142956">
        <w:rPr>
          <w:rFonts w:ascii="Century Gothic" w:hAnsi="Century Gothic" w:cs="Arial"/>
          <w:sz w:val="18"/>
          <w:szCs w:val="18"/>
        </w:rPr>
        <w:t>782</w:t>
      </w:r>
      <w:r w:rsidRPr="008327A7">
        <w:rPr>
          <w:rFonts w:ascii="Century Gothic" w:hAnsi="Century Gothic" w:cs="Arial"/>
          <w:sz w:val="18"/>
          <w:szCs w:val="18"/>
        </w:rPr>
        <w:t xml:space="preserve">. </w:t>
      </w:r>
    </w:p>
    <w:p w14:paraId="2B5A0FDD" w14:textId="391F4955" w:rsidR="00544FD4" w:rsidRDefault="00544FD4" w:rsidP="0061716E">
      <w:pPr>
        <w:jc w:val="both"/>
        <w:rPr>
          <w:rFonts w:ascii="Century Gothic" w:hAnsi="Century Gothic" w:cs="Arial"/>
          <w:sz w:val="18"/>
          <w:szCs w:val="18"/>
        </w:rPr>
      </w:pPr>
    </w:p>
    <w:p w14:paraId="004D16A1" w14:textId="2869BC50" w:rsidR="00544FD4" w:rsidRDefault="00544FD4" w:rsidP="0061716E">
      <w:pPr>
        <w:jc w:val="both"/>
        <w:rPr>
          <w:rFonts w:ascii="Century Gothic" w:hAnsi="Century Gothic" w:cs="Arial"/>
          <w:sz w:val="18"/>
          <w:szCs w:val="18"/>
        </w:rPr>
      </w:pPr>
    </w:p>
    <w:p w14:paraId="7B6A07C7" w14:textId="2DB946CB" w:rsidR="00544FD4" w:rsidRDefault="00544FD4" w:rsidP="0061716E">
      <w:pPr>
        <w:jc w:val="both"/>
        <w:rPr>
          <w:rFonts w:ascii="Century Gothic" w:hAnsi="Century Gothic" w:cs="Arial"/>
          <w:sz w:val="18"/>
          <w:szCs w:val="18"/>
        </w:rPr>
      </w:pPr>
    </w:p>
    <w:p w14:paraId="37DDA9FF" w14:textId="77777777" w:rsidR="00544FD4" w:rsidRPr="008327A7" w:rsidRDefault="00544FD4" w:rsidP="0061716E">
      <w:pPr>
        <w:jc w:val="both"/>
        <w:rPr>
          <w:sz w:val="18"/>
          <w:szCs w:val="18"/>
        </w:rPr>
      </w:pPr>
    </w:p>
    <w:sectPr w:rsidR="00544FD4" w:rsidRPr="008327A7">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BAF3" w14:textId="77777777" w:rsidR="00440B65" w:rsidRDefault="00440B65">
      <w:pPr>
        <w:spacing w:after="0" w:line="240" w:lineRule="auto"/>
      </w:pPr>
      <w:r>
        <w:separator/>
      </w:r>
    </w:p>
  </w:endnote>
  <w:endnote w:type="continuationSeparator" w:id="0">
    <w:p w14:paraId="33DDD19B" w14:textId="77777777" w:rsidR="00440B65" w:rsidRDefault="0044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FF80" w14:textId="77777777" w:rsidR="00A56D96" w:rsidRDefault="00A56D96">
    <w:pPr>
      <w:pStyle w:val="Piedepgina"/>
      <w:jc w:val="center"/>
    </w:pPr>
    <w:r>
      <w:fldChar w:fldCharType="begin"/>
    </w:r>
    <w:r>
      <w:instrText>PAGE   \* MERGEFORMAT</w:instrText>
    </w:r>
    <w:r>
      <w:fldChar w:fldCharType="separate"/>
    </w:r>
    <w:r w:rsidR="00BE20AB" w:rsidRPr="00BE20AB">
      <w:rPr>
        <w:noProof/>
        <w:lang w:val="es-ES"/>
      </w:rPr>
      <w:t>1</w:t>
    </w:r>
    <w:r>
      <w:fldChar w:fldCharType="end"/>
    </w:r>
  </w:p>
  <w:p w14:paraId="38C6DF44" w14:textId="5BE5E299" w:rsidR="00A56D96" w:rsidRPr="000F7395" w:rsidRDefault="00A56D96" w:rsidP="000F7395">
    <w:pPr>
      <w:jc w:val="right"/>
      <w:rPr>
        <w:sz w:val="16"/>
        <w:szCs w:val="16"/>
        <w:lang w:val="en-US"/>
      </w:rPr>
    </w:pPr>
    <w:r w:rsidRPr="002D05D2">
      <w:rPr>
        <w:sz w:val="16"/>
        <w:szCs w:val="16"/>
        <w:lang w:val="en-US"/>
      </w:rPr>
      <w:t>A</w:t>
    </w:r>
    <w:r w:rsidR="009C3850">
      <w:rPr>
        <w:sz w:val="16"/>
        <w:szCs w:val="16"/>
        <w:lang w:val="en-US"/>
      </w:rPr>
      <w:t>2</w:t>
    </w:r>
    <w:r w:rsidR="005316CD">
      <w:rPr>
        <w:sz w:val="16"/>
        <w:szCs w:val="16"/>
        <w:lang w:val="en-US"/>
      </w:rPr>
      <w:t>782</w:t>
    </w:r>
    <w:r w:rsidR="000F7395">
      <w:rPr>
        <w:sz w:val="16"/>
        <w:szCs w:val="16"/>
        <w:lang w:val="en-US"/>
      </w:rPr>
      <w:t>//GAOR/</w:t>
    </w:r>
    <w:r w:rsidR="001D4F15">
      <w:rPr>
        <w:sz w:val="16"/>
        <w:szCs w:val="16"/>
        <w:lang w:val="en-US"/>
      </w:rPr>
      <w:t>NTRP</w:t>
    </w:r>
    <w:r w:rsidR="000F7395">
      <w:rPr>
        <w:sz w:val="16"/>
        <w:szCs w:val="16"/>
        <w:lang w:val="en-US"/>
      </w:rPr>
      <w:t>/</w:t>
    </w:r>
    <w:r w:rsidR="001D4F15">
      <w:rPr>
        <w:sz w:val="16"/>
        <w:szCs w:val="16"/>
        <w:lang w:val="en-US"/>
      </w:rPr>
      <w:t>FCLC</w:t>
    </w:r>
  </w:p>
  <w:p w14:paraId="407000A8" w14:textId="77777777" w:rsidR="00A30C36" w:rsidRDefault="00A30C3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2928" w14:textId="77777777" w:rsidR="00440B65" w:rsidRDefault="00440B65">
      <w:pPr>
        <w:spacing w:after="0" w:line="240" w:lineRule="auto"/>
      </w:pPr>
      <w:r>
        <w:separator/>
      </w:r>
    </w:p>
  </w:footnote>
  <w:footnote w:type="continuationSeparator" w:id="0">
    <w:p w14:paraId="3593A8A5" w14:textId="77777777" w:rsidR="00440B65" w:rsidRDefault="00440B65">
      <w:pPr>
        <w:spacing w:after="0" w:line="240" w:lineRule="auto"/>
      </w:pPr>
      <w:r>
        <w:continuationSeparator/>
      </w:r>
    </w:p>
  </w:footnote>
  <w:footnote w:id="1">
    <w:p w14:paraId="26C8DE0A" w14:textId="42065243" w:rsidR="00234148" w:rsidRPr="00397655" w:rsidRDefault="00234148">
      <w:pPr>
        <w:pStyle w:val="Textonotapie"/>
        <w:rPr>
          <w:rFonts w:ascii="Century Gothic" w:hAnsi="Century Gothic" w:cs="Calibri"/>
          <w:sz w:val="18"/>
          <w:szCs w:val="18"/>
        </w:rPr>
      </w:pPr>
      <w:r w:rsidRPr="00397655">
        <w:rPr>
          <w:rStyle w:val="Refdenotaalpie"/>
          <w:rFonts w:ascii="Century Gothic" w:hAnsi="Century Gothic" w:cs="Calibri"/>
          <w:sz w:val="18"/>
          <w:szCs w:val="18"/>
        </w:rPr>
        <w:footnoteRef/>
      </w:r>
      <w:r w:rsidRPr="00397655">
        <w:rPr>
          <w:rFonts w:ascii="Century Gothic" w:hAnsi="Century Gothic" w:cs="Calibri"/>
          <w:sz w:val="18"/>
          <w:szCs w:val="18"/>
        </w:rPr>
        <w:t xml:space="preserve"> </w:t>
      </w:r>
      <w:hyperlink r:id="rId1" w:history="1">
        <w:r w:rsidRPr="00397655">
          <w:rPr>
            <w:rStyle w:val="Hipervnculo"/>
            <w:rFonts w:ascii="Century Gothic" w:hAnsi="Century Gothic" w:cs="Calibri"/>
            <w:sz w:val="18"/>
            <w:szCs w:val="18"/>
          </w:rPr>
          <w:t>https://www.un.org/es/about-us/universal-declaration-of-human-rights</w:t>
        </w:r>
      </w:hyperlink>
      <w:r w:rsidRPr="00397655">
        <w:rPr>
          <w:rFonts w:ascii="Century Gothic" w:hAnsi="Century Gothic" w:cs="Calibri"/>
          <w:sz w:val="18"/>
          <w:szCs w:val="18"/>
        </w:rPr>
        <w:t xml:space="preserve"> </w:t>
      </w:r>
    </w:p>
  </w:footnote>
  <w:footnote w:id="2">
    <w:p w14:paraId="179A1ABB" w14:textId="239FED7F" w:rsidR="00B00E3A" w:rsidRPr="00397655" w:rsidRDefault="00B00E3A">
      <w:pPr>
        <w:pStyle w:val="Textonotapie"/>
        <w:rPr>
          <w:rFonts w:ascii="Century Gothic" w:hAnsi="Century Gothic" w:cs="Calibri"/>
          <w:sz w:val="18"/>
          <w:szCs w:val="18"/>
        </w:rPr>
      </w:pPr>
      <w:r w:rsidRPr="00397655">
        <w:rPr>
          <w:rStyle w:val="Refdenotaalpie"/>
          <w:rFonts w:ascii="Century Gothic" w:hAnsi="Century Gothic" w:cs="Calibri"/>
          <w:sz w:val="18"/>
          <w:szCs w:val="18"/>
        </w:rPr>
        <w:footnoteRef/>
      </w:r>
      <w:r w:rsidRPr="00397655">
        <w:rPr>
          <w:rFonts w:ascii="Century Gothic" w:hAnsi="Century Gothic" w:cs="Calibri"/>
          <w:sz w:val="18"/>
          <w:szCs w:val="18"/>
        </w:rPr>
        <w:t xml:space="preserve"> </w:t>
      </w:r>
      <w:hyperlink r:id="rId2" w:history="1">
        <w:r w:rsidRPr="00397655">
          <w:rPr>
            <w:rStyle w:val="Hipervnculo"/>
            <w:rFonts w:ascii="Century Gothic" w:hAnsi="Century Gothic" w:cs="Calibri"/>
            <w:sz w:val="18"/>
            <w:szCs w:val="18"/>
          </w:rPr>
          <w:t>https://www.ohchr.org/es/instruments-mechanisms/instruments/international-covenant-economic-social-and-cultural-rights</w:t>
        </w:r>
      </w:hyperlink>
      <w:r w:rsidRPr="00397655">
        <w:rPr>
          <w:rFonts w:ascii="Century Gothic" w:hAnsi="Century Gothic" w:cs="Calibri"/>
          <w:sz w:val="18"/>
          <w:szCs w:val="18"/>
        </w:rPr>
        <w:t xml:space="preserve"> </w:t>
      </w:r>
    </w:p>
  </w:footnote>
  <w:footnote w:id="3">
    <w:p w14:paraId="0DABC686" w14:textId="57ACCCEC" w:rsidR="00B00E3A" w:rsidRPr="00397655" w:rsidRDefault="00B00E3A">
      <w:pPr>
        <w:pStyle w:val="Textonotapie"/>
        <w:rPr>
          <w:rFonts w:ascii="Century Gothic" w:hAnsi="Century Gothic" w:cs="Calibri"/>
          <w:sz w:val="18"/>
          <w:szCs w:val="18"/>
        </w:rPr>
      </w:pPr>
      <w:r w:rsidRPr="00397655">
        <w:rPr>
          <w:rStyle w:val="Refdenotaalpie"/>
          <w:rFonts w:ascii="Century Gothic" w:hAnsi="Century Gothic" w:cs="Calibri"/>
          <w:sz w:val="18"/>
          <w:szCs w:val="18"/>
        </w:rPr>
        <w:footnoteRef/>
      </w:r>
      <w:r w:rsidRPr="00397655">
        <w:rPr>
          <w:rFonts w:ascii="Century Gothic" w:hAnsi="Century Gothic" w:cs="Calibri"/>
          <w:sz w:val="18"/>
          <w:szCs w:val="18"/>
        </w:rPr>
        <w:t xml:space="preserve"> </w:t>
      </w:r>
      <w:hyperlink r:id="rId3" w:history="1">
        <w:r w:rsidRPr="00397655">
          <w:rPr>
            <w:rStyle w:val="Hipervnculo"/>
            <w:rFonts w:ascii="Century Gothic" w:hAnsi="Century Gothic" w:cs="Calibri"/>
            <w:sz w:val="18"/>
            <w:szCs w:val="18"/>
          </w:rPr>
          <w:t>https://www.oas.org/es/cidh/mandato/basicos/declaracion.asp</w:t>
        </w:r>
      </w:hyperlink>
      <w:r w:rsidRPr="00397655">
        <w:rPr>
          <w:rFonts w:ascii="Century Gothic" w:hAnsi="Century Gothic" w:cs="Calibri"/>
          <w:sz w:val="18"/>
          <w:szCs w:val="18"/>
        </w:rPr>
        <w:t xml:space="preserve"> </w:t>
      </w:r>
    </w:p>
  </w:footnote>
  <w:footnote w:id="4">
    <w:p w14:paraId="44B9764D" w14:textId="45833874" w:rsidR="00B00E3A" w:rsidRPr="00397655" w:rsidRDefault="00B00E3A">
      <w:pPr>
        <w:pStyle w:val="Textonotapie"/>
        <w:rPr>
          <w:rFonts w:ascii="Century Gothic" w:hAnsi="Century Gothic" w:cs="Calibri"/>
          <w:sz w:val="18"/>
          <w:szCs w:val="18"/>
        </w:rPr>
      </w:pPr>
      <w:r w:rsidRPr="00397655">
        <w:rPr>
          <w:rStyle w:val="Refdenotaalpie"/>
          <w:rFonts w:ascii="Century Gothic" w:hAnsi="Century Gothic" w:cs="Calibri"/>
          <w:sz w:val="18"/>
          <w:szCs w:val="18"/>
        </w:rPr>
        <w:footnoteRef/>
      </w:r>
      <w:r w:rsidRPr="00397655">
        <w:rPr>
          <w:rFonts w:ascii="Century Gothic" w:hAnsi="Century Gothic" w:cs="Calibri"/>
          <w:sz w:val="18"/>
          <w:szCs w:val="18"/>
        </w:rPr>
        <w:t xml:space="preserve"> </w:t>
      </w:r>
      <w:hyperlink r:id="rId4" w:history="1">
        <w:r w:rsidRPr="00397655">
          <w:rPr>
            <w:rStyle w:val="Hipervnculo"/>
            <w:rFonts w:ascii="Century Gothic" w:hAnsi="Century Gothic" w:cs="Calibri"/>
            <w:sz w:val="18"/>
            <w:szCs w:val="18"/>
          </w:rPr>
          <w:t>https://www.oas.org/es/sla/ddi/tratados_multilaterales_interamericanos_A-70_derechos_humanos_personas_mayores.asp</w:t>
        </w:r>
      </w:hyperlink>
      <w:r w:rsidRPr="00397655">
        <w:rPr>
          <w:rFonts w:ascii="Century Gothic" w:hAnsi="Century Gothic" w:cs="Calibri"/>
          <w:sz w:val="18"/>
          <w:szCs w:val="18"/>
        </w:rPr>
        <w:t xml:space="preserve"> </w:t>
      </w:r>
    </w:p>
  </w:footnote>
  <w:footnote w:id="5">
    <w:p w14:paraId="1E51D114" w14:textId="008EBC2C" w:rsidR="00B00E3A" w:rsidRPr="00397655" w:rsidRDefault="00B00E3A">
      <w:pPr>
        <w:pStyle w:val="Textonotapie"/>
        <w:rPr>
          <w:rFonts w:ascii="Century Gothic" w:hAnsi="Century Gothic" w:cs="Calibri"/>
          <w:sz w:val="18"/>
          <w:szCs w:val="18"/>
        </w:rPr>
      </w:pPr>
      <w:r w:rsidRPr="00397655">
        <w:rPr>
          <w:rStyle w:val="Refdenotaalpie"/>
          <w:rFonts w:ascii="Century Gothic" w:hAnsi="Century Gothic" w:cs="Calibri"/>
          <w:sz w:val="18"/>
          <w:szCs w:val="18"/>
        </w:rPr>
        <w:footnoteRef/>
      </w:r>
      <w:r w:rsidRPr="00397655">
        <w:rPr>
          <w:rFonts w:ascii="Century Gothic" w:hAnsi="Century Gothic" w:cs="Calibri"/>
          <w:sz w:val="18"/>
          <w:szCs w:val="18"/>
        </w:rPr>
        <w:t xml:space="preserve"> </w:t>
      </w:r>
      <w:hyperlink r:id="rId5" w:history="1">
        <w:r w:rsidRPr="00397655">
          <w:rPr>
            <w:rStyle w:val="Hipervnculo"/>
            <w:rFonts w:ascii="Century Gothic" w:hAnsi="Century Gothic" w:cs="Calibri"/>
            <w:sz w:val="18"/>
            <w:szCs w:val="18"/>
          </w:rPr>
          <w:t>https://www.oas.org/es/sla/ddi/docs/tratados_multilaterales_interamericanos_A-69_discriminacion_intolerancia.pdf</w:t>
        </w:r>
      </w:hyperlink>
      <w:r w:rsidRPr="00397655">
        <w:rPr>
          <w:rFonts w:ascii="Century Gothic" w:hAnsi="Century Gothic" w:cs="Calibri"/>
          <w:sz w:val="18"/>
          <w:szCs w:val="18"/>
        </w:rPr>
        <w:t xml:space="preserve"> </w:t>
      </w:r>
    </w:p>
  </w:footnote>
  <w:footnote w:id="6">
    <w:p w14:paraId="2E49161E" w14:textId="6FD04A42" w:rsidR="00B00E3A" w:rsidRPr="00397655" w:rsidRDefault="00B00E3A">
      <w:pPr>
        <w:pStyle w:val="Textonotapie"/>
        <w:rPr>
          <w:rFonts w:ascii="Century Gothic" w:hAnsi="Century Gothic" w:cs="Calibri"/>
          <w:sz w:val="18"/>
          <w:szCs w:val="18"/>
        </w:rPr>
      </w:pPr>
      <w:r w:rsidRPr="00397655">
        <w:rPr>
          <w:rStyle w:val="Refdenotaalpie"/>
          <w:rFonts w:ascii="Century Gothic" w:hAnsi="Century Gothic" w:cs="Calibri"/>
          <w:sz w:val="18"/>
          <w:szCs w:val="18"/>
        </w:rPr>
        <w:footnoteRef/>
      </w:r>
      <w:r w:rsidRPr="00397655">
        <w:rPr>
          <w:rFonts w:ascii="Century Gothic" w:hAnsi="Century Gothic" w:cs="Calibri"/>
          <w:sz w:val="18"/>
          <w:szCs w:val="18"/>
        </w:rPr>
        <w:t xml:space="preserve"> </w:t>
      </w:r>
      <w:hyperlink r:id="rId6" w:history="1">
        <w:r w:rsidRPr="00397655">
          <w:rPr>
            <w:rStyle w:val="Hipervnculo"/>
            <w:rFonts w:ascii="Century Gothic" w:hAnsi="Century Gothic" w:cs="Calibri"/>
            <w:sz w:val="18"/>
            <w:szCs w:val="18"/>
          </w:rPr>
          <w:t>https://www.oas.org/juridico/spanish/tratados/a-65.html</w:t>
        </w:r>
      </w:hyperlink>
      <w:r w:rsidRPr="00397655">
        <w:rPr>
          <w:rFonts w:ascii="Century Gothic" w:hAnsi="Century Gothic" w:cs="Calibri"/>
          <w:sz w:val="18"/>
          <w:szCs w:val="18"/>
        </w:rPr>
        <w:t xml:space="preserve"> </w:t>
      </w:r>
    </w:p>
  </w:footnote>
  <w:footnote w:id="7">
    <w:p w14:paraId="050B3812" w14:textId="77777777" w:rsidR="00B00E3A" w:rsidRPr="00397655" w:rsidRDefault="00B00E3A" w:rsidP="00B00E3A">
      <w:pPr>
        <w:pStyle w:val="Textonotapie"/>
        <w:rPr>
          <w:rFonts w:ascii="Century Gothic" w:hAnsi="Century Gothic" w:cs="Calibri"/>
          <w:sz w:val="18"/>
          <w:szCs w:val="18"/>
        </w:rPr>
      </w:pPr>
      <w:r w:rsidRPr="00397655">
        <w:rPr>
          <w:rStyle w:val="Refdenotaalpie"/>
          <w:rFonts w:ascii="Century Gothic" w:hAnsi="Century Gothic" w:cs="Calibri"/>
          <w:sz w:val="18"/>
          <w:szCs w:val="18"/>
        </w:rPr>
        <w:footnoteRef/>
      </w:r>
      <w:r w:rsidRPr="00397655">
        <w:rPr>
          <w:rFonts w:ascii="Century Gothic" w:hAnsi="Century Gothic" w:cs="Calibri"/>
          <w:sz w:val="18"/>
          <w:szCs w:val="18"/>
        </w:rPr>
        <w:t xml:space="preserve"> </w:t>
      </w:r>
      <w:hyperlink r:id="rId7" w:history="1">
        <w:r w:rsidRPr="00397655">
          <w:rPr>
            <w:rStyle w:val="Hipervnculo"/>
            <w:rFonts w:ascii="Century Gothic" w:hAnsi="Century Gothic" w:cs="Calibri"/>
            <w:sz w:val="18"/>
            <w:szCs w:val="18"/>
          </w:rPr>
          <w:t>https://www.acnur.org/fileadmin/Documentos/BDL/2008/6224.pdf</w:t>
        </w:r>
      </w:hyperlink>
      <w:r w:rsidRPr="00397655">
        <w:rPr>
          <w:rFonts w:ascii="Century Gothic" w:hAnsi="Century Gothic" w:cs="Calibri"/>
          <w:sz w:val="18"/>
          <w:szCs w:val="18"/>
        </w:rPr>
        <w:t xml:space="preserve"> </w:t>
      </w:r>
    </w:p>
  </w:footnote>
  <w:footnote w:id="8">
    <w:p w14:paraId="22A04355" w14:textId="6ADB42C8" w:rsidR="009A116B" w:rsidRPr="00397655" w:rsidRDefault="009A116B" w:rsidP="009A116B">
      <w:pPr>
        <w:pStyle w:val="Textonotapie"/>
        <w:rPr>
          <w:rFonts w:ascii="Century Gothic" w:hAnsi="Century Gothic"/>
          <w:sz w:val="18"/>
          <w:szCs w:val="18"/>
        </w:rPr>
      </w:pPr>
      <w:r w:rsidRPr="00397655">
        <w:rPr>
          <w:rStyle w:val="Refdenotaalpie"/>
          <w:rFonts w:ascii="Century Gothic" w:hAnsi="Century Gothic"/>
          <w:sz w:val="18"/>
          <w:szCs w:val="18"/>
        </w:rPr>
        <w:footnoteRef/>
      </w:r>
      <w:r w:rsidRPr="00397655">
        <w:rPr>
          <w:rFonts w:ascii="Century Gothic" w:hAnsi="Century Gothic"/>
          <w:sz w:val="18"/>
          <w:szCs w:val="18"/>
        </w:rPr>
        <w:t xml:space="preserve"> </w:t>
      </w:r>
      <w:hyperlink r:id="rId8" w:history="1">
        <w:r w:rsidRPr="00397655">
          <w:rPr>
            <w:rStyle w:val="Hipervnculo"/>
            <w:rFonts w:ascii="Century Gothic" w:hAnsi="Century Gothic"/>
            <w:sz w:val="18"/>
            <w:szCs w:val="18"/>
          </w:rPr>
          <w:t>https://catedraunescodh.unam.mx/catedra/mujeres3/html/cedaw/Cedaw/3_Recom_grales/21.pdf</w:t>
        </w:r>
      </w:hyperlink>
      <w:r w:rsidRPr="00397655">
        <w:rPr>
          <w:rFonts w:ascii="Century Gothic" w:hAnsi="Century Gothic"/>
          <w:sz w:val="18"/>
          <w:szCs w:val="18"/>
        </w:rPr>
        <w:t xml:space="preserve"> </w:t>
      </w:r>
    </w:p>
  </w:footnote>
  <w:footnote w:id="9">
    <w:p w14:paraId="7943EA58" w14:textId="0CA1EAEA" w:rsidR="009A116B" w:rsidRDefault="009A116B" w:rsidP="009A116B">
      <w:pPr>
        <w:pStyle w:val="Textonotapie"/>
      </w:pPr>
      <w:r w:rsidRPr="00397655">
        <w:rPr>
          <w:rStyle w:val="Refdenotaalpie"/>
          <w:rFonts w:ascii="Century Gothic" w:hAnsi="Century Gothic"/>
          <w:sz w:val="18"/>
          <w:szCs w:val="18"/>
        </w:rPr>
        <w:footnoteRef/>
      </w:r>
      <w:r w:rsidRPr="00397655">
        <w:rPr>
          <w:rFonts w:ascii="Century Gothic" w:hAnsi="Century Gothic"/>
          <w:sz w:val="18"/>
          <w:szCs w:val="18"/>
        </w:rPr>
        <w:t xml:space="preserve"> </w:t>
      </w:r>
      <w:hyperlink r:id="rId9" w:history="1">
        <w:r w:rsidRPr="00397655">
          <w:rPr>
            <w:rStyle w:val="Hipervnculo"/>
            <w:rFonts w:ascii="Century Gothic" w:hAnsi="Century Gothic"/>
            <w:sz w:val="18"/>
            <w:szCs w:val="18"/>
          </w:rPr>
          <w:t>https://www.un.org/womenwatch/daw/beijing/pdf/Beijing%20full%20report%20S.pdf</w:t>
        </w:r>
      </w:hyperlink>
      <w:r>
        <w:t xml:space="preserve">   </w:t>
      </w:r>
    </w:p>
  </w:footnote>
  <w:footnote w:id="10">
    <w:p w14:paraId="2E867560" w14:textId="2E2575DA" w:rsidR="00FD5F15" w:rsidRDefault="00FD5F15">
      <w:pPr>
        <w:pStyle w:val="Textonotapie"/>
      </w:pPr>
      <w:r w:rsidRPr="00324A1E">
        <w:rPr>
          <w:rStyle w:val="Refdenotaalpie"/>
          <w:rFonts w:ascii="Century Gothic" w:hAnsi="Century Gothic"/>
          <w:sz w:val="18"/>
          <w:szCs w:val="18"/>
        </w:rPr>
        <w:footnoteRef/>
      </w:r>
      <w:r w:rsidRPr="00324A1E">
        <w:rPr>
          <w:rFonts w:ascii="Century Gothic" w:hAnsi="Century Gothic"/>
          <w:sz w:val="18"/>
          <w:szCs w:val="18"/>
        </w:rPr>
        <w:t xml:space="preserve"> </w:t>
      </w:r>
      <w:hyperlink r:id="rId10" w:history="1">
        <w:r w:rsidRPr="00324A1E">
          <w:rPr>
            <w:rStyle w:val="Hipervnculo"/>
            <w:rFonts w:ascii="Century Gothic" w:hAnsi="Century Gothic"/>
            <w:sz w:val="18"/>
            <w:szCs w:val="18"/>
          </w:rPr>
          <w:t>https://www.diputados.gob.mx/LeyesBiblio/pdf/CPEUM.pdf</w:t>
        </w:r>
      </w:hyperlink>
      <w:r>
        <w:t xml:space="preserve"> </w:t>
      </w:r>
    </w:p>
  </w:footnote>
  <w:footnote w:id="11">
    <w:p w14:paraId="6FA05F1F" w14:textId="77777777" w:rsidR="00FD5F15" w:rsidRPr="00324A1E" w:rsidRDefault="00FD5F15" w:rsidP="00FD5F15">
      <w:pPr>
        <w:pStyle w:val="Textonotapie"/>
        <w:rPr>
          <w:rFonts w:ascii="Century Gothic" w:hAnsi="Century Gothic"/>
          <w:sz w:val="18"/>
          <w:szCs w:val="18"/>
        </w:rPr>
      </w:pPr>
      <w:r w:rsidRPr="00324A1E">
        <w:rPr>
          <w:rStyle w:val="Refdenotaalpie"/>
          <w:rFonts w:ascii="Century Gothic" w:hAnsi="Century Gothic"/>
          <w:sz w:val="18"/>
          <w:szCs w:val="18"/>
        </w:rPr>
        <w:footnoteRef/>
      </w:r>
      <w:r w:rsidRPr="00324A1E">
        <w:rPr>
          <w:rFonts w:ascii="Century Gothic" w:hAnsi="Century Gothic"/>
          <w:sz w:val="18"/>
          <w:szCs w:val="18"/>
        </w:rPr>
        <w:t xml:space="preserve"> Tesis: III.1o.C.4 K (10a.), Gaceta del Semanario Judicial de la Federación, Décima Época, 2006700 11 de 153, Tribunales Colegiados de Circuito, Libro 7, Junio de 2014, Tomo II, Página 1671, Tesis Aislada (Constitucional). Disponible en: </w:t>
      </w:r>
      <w:hyperlink r:id="rId11" w:history="1">
        <w:r w:rsidRPr="00324A1E">
          <w:rPr>
            <w:rStyle w:val="Hipervnculo"/>
            <w:rFonts w:ascii="Century Gothic" w:hAnsi="Century Gothic"/>
            <w:sz w:val="18"/>
            <w:szCs w:val="18"/>
          </w:rPr>
          <w:t>https://sjf2.scjn.gob.mx/detalle/tesis/2006700</w:t>
        </w:r>
      </w:hyperlink>
      <w:r w:rsidRPr="00324A1E">
        <w:rPr>
          <w:rFonts w:ascii="Century Gothic" w:hAnsi="Century Gothic"/>
          <w:sz w:val="18"/>
          <w:szCs w:val="18"/>
        </w:rPr>
        <w:t xml:space="preserve"> </w:t>
      </w:r>
    </w:p>
  </w:footnote>
  <w:footnote w:id="12">
    <w:p w14:paraId="766E14FB" w14:textId="77777777" w:rsidR="00FD5F15" w:rsidRPr="00324A1E" w:rsidRDefault="00FD5F15" w:rsidP="00FD5F15">
      <w:pPr>
        <w:pStyle w:val="Textonotapie"/>
        <w:rPr>
          <w:rFonts w:ascii="Century Gothic" w:hAnsi="Century Gothic"/>
          <w:sz w:val="18"/>
          <w:szCs w:val="18"/>
        </w:rPr>
      </w:pPr>
      <w:r w:rsidRPr="00324A1E">
        <w:rPr>
          <w:rStyle w:val="Refdenotaalpie"/>
          <w:rFonts w:ascii="Century Gothic" w:hAnsi="Century Gothic"/>
          <w:sz w:val="18"/>
          <w:szCs w:val="18"/>
        </w:rPr>
        <w:footnoteRef/>
      </w:r>
      <w:r w:rsidRPr="00324A1E">
        <w:rPr>
          <w:rFonts w:ascii="Century Gothic" w:hAnsi="Century Gothic"/>
          <w:sz w:val="18"/>
          <w:szCs w:val="18"/>
        </w:rPr>
        <w:t xml:space="preserve"> Tesis: 1a. CXLVI/2014 (10a.), Gaceta del Semanario Judicial de la Federación. Libro 5, Abril de 2014, Tomo I, página 798, Tesis Aislada (Constitucional). Disponible en: </w:t>
      </w:r>
      <w:hyperlink r:id="rId12" w:history="1">
        <w:r w:rsidRPr="00324A1E">
          <w:rPr>
            <w:rStyle w:val="Hipervnculo"/>
            <w:rFonts w:ascii="Century Gothic" w:hAnsi="Century Gothic"/>
            <w:sz w:val="18"/>
            <w:szCs w:val="18"/>
          </w:rPr>
          <w:t>https://sjf2.scjn.gob.mx/detalle/tesis/2006169</w:t>
        </w:r>
      </w:hyperlink>
      <w:r w:rsidRPr="00324A1E">
        <w:rPr>
          <w:rFonts w:ascii="Century Gothic" w:hAnsi="Century Gothic"/>
          <w:sz w:val="18"/>
          <w:szCs w:val="18"/>
        </w:rPr>
        <w:t xml:space="preserve"> </w:t>
      </w:r>
    </w:p>
  </w:footnote>
  <w:footnote w:id="13">
    <w:p w14:paraId="472604FA" w14:textId="60D2841E" w:rsidR="00FC1449" w:rsidRPr="00324A1E" w:rsidRDefault="00FC1449">
      <w:pPr>
        <w:pStyle w:val="Textonotapie"/>
        <w:rPr>
          <w:rFonts w:ascii="Century Gothic" w:hAnsi="Century Gothic"/>
          <w:sz w:val="18"/>
          <w:szCs w:val="18"/>
        </w:rPr>
      </w:pPr>
      <w:r w:rsidRPr="00324A1E">
        <w:rPr>
          <w:rStyle w:val="Refdenotaalpie"/>
          <w:rFonts w:ascii="Century Gothic" w:hAnsi="Century Gothic"/>
          <w:sz w:val="18"/>
          <w:szCs w:val="18"/>
        </w:rPr>
        <w:footnoteRef/>
      </w:r>
      <w:r w:rsidRPr="00324A1E">
        <w:rPr>
          <w:rFonts w:ascii="Century Gothic" w:hAnsi="Century Gothic"/>
          <w:sz w:val="18"/>
          <w:szCs w:val="18"/>
        </w:rPr>
        <w:t xml:space="preserve"> </w:t>
      </w:r>
      <w:hyperlink r:id="rId13" w:history="1">
        <w:r w:rsidRPr="00324A1E">
          <w:rPr>
            <w:rStyle w:val="Hipervnculo"/>
            <w:rFonts w:ascii="Century Gothic" w:hAnsi="Century Gothic"/>
            <w:sz w:val="18"/>
            <w:szCs w:val="18"/>
          </w:rPr>
          <w:t>https://www.congresochihuahua2.gob.mx/biblioteca/leyes/archivosLeyes/903.pdf</w:t>
        </w:r>
      </w:hyperlink>
      <w:r w:rsidRPr="00324A1E">
        <w:rPr>
          <w:rFonts w:ascii="Century Gothic" w:hAnsi="Century Gothic"/>
          <w:sz w:val="18"/>
          <w:szCs w:val="18"/>
        </w:rPr>
        <w:t xml:space="preserve"> </w:t>
      </w:r>
    </w:p>
  </w:footnote>
  <w:footnote w:id="14">
    <w:p w14:paraId="3A54DFE8" w14:textId="014D8279" w:rsidR="00324A1E" w:rsidRPr="00427F08" w:rsidRDefault="00324A1E">
      <w:pPr>
        <w:pStyle w:val="Textonotapie"/>
        <w:rPr>
          <w:rFonts w:ascii="Century Gothic" w:hAnsi="Century Gothic"/>
          <w:sz w:val="18"/>
          <w:szCs w:val="18"/>
        </w:rPr>
      </w:pPr>
      <w:r w:rsidRPr="00427F08">
        <w:rPr>
          <w:rStyle w:val="Refdenotaalpie"/>
          <w:rFonts w:ascii="Century Gothic" w:hAnsi="Century Gothic"/>
          <w:sz w:val="18"/>
          <w:szCs w:val="18"/>
        </w:rPr>
        <w:footnoteRef/>
      </w:r>
      <w:r w:rsidRPr="00427F08">
        <w:rPr>
          <w:rFonts w:ascii="Century Gothic" w:hAnsi="Century Gothic"/>
          <w:sz w:val="18"/>
          <w:szCs w:val="18"/>
        </w:rPr>
        <w:t xml:space="preserve"> Resaltado propio</w:t>
      </w:r>
    </w:p>
  </w:footnote>
  <w:footnote w:id="15">
    <w:p w14:paraId="7C992C34" w14:textId="65248AE8" w:rsidR="00427F08" w:rsidRDefault="00427F08">
      <w:pPr>
        <w:pStyle w:val="Textonotapie"/>
      </w:pPr>
      <w:r w:rsidRPr="00427F08">
        <w:rPr>
          <w:rStyle w:val="Refdenotaalpie"/>
          <w:rFonts w:ascii="Century Gothic" w:hAnsi="Century Gothic"/>
          <w:sz w:val="18"/>
          <w:szCs w:val="18"/>
        </w:rPr>
        <w:footnoteRef/>
      </w:r>
      <w:r w:rsidRPr="00427F08">
        <w:rPr>
          <w:rFonts w:ascii="Century Gothic" w:hAnsi="Century Gothic"/>
          <w:sz w:val="18"/>
          <w:szCs w:val="18"/>
        </w:rPr>
        <w:t xml:space="preserve"> </w:t>
      </w:r>
      <w:hyperlink r:id="rId14" w:history="1">
        <w:r w:rsidRPr="00427F08">
          <w:rPr>
            <w:rStyle w:val="Hipervnculo"/>
            <w:rFonts w:ascii="Century Gothic" w:hAnsi="Century Gothic"/>
            <w:sz w:val="18"/>
            <w:szCs w:val="18"/>
          </w:rPr>
          <w:t>https://www.congresochihuahua2.gob.mx/biblioteca/leyes/archivosLeyes/153.pdf</w:t>
        </w:r>
      </w:hyperlink>
      <w:r w:rsidRPr="00427F08">
        <w:rPr>
          <w:sz w:val="22"/>
          <w:szCs w:val="22"/>
        </w:rPr>
        <w:t xml:space="preserve"> </w:t>
      </w:r>
    </w:p>
  </w:footnote>
  <w:footnote w:id="16">
    <w:p w14:paraId="1A73D007" w14:textId="77777777" w:rsidR="00397655" w:rsidRPr="00324A1E" w:rsidRDefault="00397655" w:rsidP="00397655">
      <w:pPr>
        <w:pStyle w:val="Textonotapie"/>
        <w:rPr>
          <w:rFonts w:ascii="Century Gothic" w:hAnsi="Century Gothic"/>
          <w:sz w:val="18"/>
          <w:szCs w:val="18"/>
        </w:rPr>
      </w:pPr>
      <w:r w:rsidRPr="00324A1E">
        <w:rPr>
          <w:rStyle w:val="Refdenotaalpie"/>
          <w:rFonts w:ascii="Century Gothic" w:hAnsi="Century Gothic"/>
          <w:sz w:val="18"/>
          <w:szCs w:val="18"/>
        </w:rPr>
        <w:footnoteRef/>
      </w:r>
      <w:r w:rsidRPr="00324A1E">
        <w:rPr>
          <w:rFonts w:ascii="Century Gothic" w:hAnsi="Century Gothic"/>
          <w:sz w:val="18"/>
          <w:szCs w:val="18"/>
        </w:rPr>
        <w:t xml:space="preserve"> </w:t>
      </w:r>
      <w:hyperlink r:id="rId15" w:history="1">
        <w:r w:rsidRPr="00324A1E">
          <w:rPr>
            <w:rStyle w:val="Hipervnculo"/>
            <w:rFonts w:ascii="Century Gothic" w:hAnsi="Century Gothic"/>
            <w:sz w:val="18"/>
            <w:szCs w:val="18"/>
          </w:rPr>
          <w:t>https://www.oas.org/juridico/spanish/tratados/a-61.html?fbclid=IwAR3R-fMA5k8t3qwmK7zu6tLfHrNkCmWKVmWyo9CNa53fZibR93G8kS4vfrE</w:t>
        </w:r>
      </w:hyperlink>
      <w:r w:rsidRPr="00324A1E">
        <w:rPr>
          <w:rFonts w:ascii="Century Gothic" w:hAnsi="Century Gothi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7E95" w14:textId="77777777" w:rsidR="00FB0555" w:rsidRPr="0038025E" w:rsidRDefault="00FB0555" w:rsidP="00FB0555">
    <w:pPr>
      <w:spacing w:after="0" w:line="240" w:lineRule="auto"/>
      <w:jc w:val="right"/>
      <w:rPr>
        <w:rFonts w:ascii="Arial" w:hAnsi="Arial" w:cs="Arial"/>
        <w:b/>
        <w:bCs/>
        <w:i/>
        <w:sz w:val="20"/>
        <w:szCs w:val="18"/>
      </w:rPr>
    </w:pPr>
    <w:r w:rsidRPr="0038025E">
      <w:rPr>
        <w:rFonts w:ascii="Arial" w:hAnsi="Arial" w:cs="Arial"/>
        <w:b/>
        <w:bCs/>
        <w:i/>
        <w:sz w:val="20"/>
        <w:szCs w:val="18"/>
      </w:rPr>
      <w:t>"202</w:t>
    </w:r>
    <w:r>
      <w:rPr>
        <w:rFonts w:ascii="Arial" w:hAnsi="Arial" w:cs="Arial"/>
        <w:b/>
        <w:bCs/>
        <w:i/>
        <w:sz w:val="20"/>
        <w:szCs w:val="18"/>
      </w:rPr>
      <w:t>4, Año del Bicentenario de la fundación del Estado de Chihuahua”</w:t>
    </w:r>
  </w:p>
  <w:p w14:paraId="52FBE069" w14:textId="77777777" w:rsidR="00FB0555" w:rsidRDefault="00FB0555" w:rsidP="00FB0555">
    <w:pPr>
      <w:spacing w:after="0" w:line="240" w:lineRule="auto"/>
      <w:jc w:val="right"/>
      <w:rPr>
        <w:rFonts w:ascii="Arial" w:hAnsi="Arial" w:cs="Arial"/>
        <w:b/>
        <w:sz w:val="24"/>
        <w:szCs w:val="18"/>
      </w:rPr>
    </w:pPr>
  </w:p>
  <w:p w14:paraId="23DD0486" w14:textId="77777777" w:rsidR="00FB0555" w:rsidRPr="00F53513" w:rsidRDefault="00FB0555" w:rsidP="00FB0555">
    <w:pPr>
      <w:spacing w:after="0" w:line="240" w:lineRule="auto"/>
      <w:jc w:val="right"/>
      <w:rPr>
        <w:rFonts w:ascii="Arial" w:hAnsi="Arial" w:cs="Arial"/>
        <w:b/>
        <w:sz w:val="24"/>
        <w:szCs w:val="18"/>
      </w:rPr>
    </w:pPr>
  </w:p>
  <w:p w14:paraId="71033D20" w14:textId="77777777" w:rsidR="00FB0555" w:rsidRPr="00F53513" w:rsidRDefault="00FB0555" w:rsidP="00FB0555">
    <w:pPr>
      <w:spacing w:after="0" w:line="240" w:lineRule="auto"/>
      <w:jc w:val="right"/>
      <w:rPr>
        <w:rFonts w:ascii="Century Gothic" w:hAnsi="Century Gothic"/>
        <w:sz w:val="24"/>
        <w:szCs w:val="18"/>
      </w:rPr>
    </w:pPr>
  </w:p>
  <w:p w14:paraId="244CFA86" w14:textId="77777777" w:rsidR="00FB0555" w:rsidRPr="002D05D2" w:rsidRDefault="00FB0555" w:rsidP="00FB0555">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Igualdad</w:t>
    </w:r>
  </w:p>
  <w:p w14:paraId="3833B0EF" w14:textId="77777777" w:rsidR="00FB0555" w:rsidRPr="002D05D2" w:rsidRDefault="00FB0555" w:rsidP="00FB0555">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32179AE4" w14:textId="780931E2" w:rsidR="00FB0555" w:rsidRPr="002B6562" w:rsidRDefault="00FB0555" w:rsidP="00FB0555">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DC</w:t>
    </w:r>
    <w:r>
      <w:rPr>
        <w:rFonts w:ascii="Century Gothic" w:hAnsi="Century Gothic" w:cs="Calibri"/>
        <w:b/>
        <w:sz w:val="24"/>
        <w:szCs w:val="24"/>
      </w:rPr>
      <w:t>I</w:t>
    </w:r>
    <w:r w:rsidRPr="009F0514">
      <w:rPr>
        <w:rFonts w:ascii="Century Gothic" w:hAnsi="Century Gothic" w:cs="Calibri"/>
        <w:b/>
        <w:sz w:val="24"/>
        <w:szCs w:val="24"/>
      </w:rPr>
      <w:t>/</w:t>
    </w:r>
    <w:r w:rsidR="00403CA5">
      <w:rPr>
        <w:rFonts w:ascii="Century Gothic" w:hAnsi="Century Gothic" w:cs="Calibri"/>
        <w:b/>
        <w:sz w:val="24"/>
        <w:szCs w:val="24"/>
      </w:rPr>
      <w:t>27</w:t>
    </w:r>
    <w:r w:rsidRPr="009F0514">
      <w:rPr>
        <w:rFonts w:ascii="Century Gothic" w:hAnsi="Century Gothic" w:cs="Calibri"/>
        <w:b/>
        <w:sz w:val="24"/>
        <w:szCs w:val="24"/>
      </w:rPr>
      <w:t>/202</w:t>
    </w:r>
    <w:r>
      <w:rPr>
        <w:rFonts w:ascii="Century Gothic" w:hAnsi="Century Gothic" w:cs="Calibri"/>
        <w:b/>
        <w:sz w:val="24"/>
        <w:szCs w:val="24"/>
      </w:rPr>
      <w:t>4</w:t>
    </w:r>
  </w:p>
  <w:p w14:paraId="78385458" w14:textId="233AA1F2" w:rsidR="00A30C36" w:rsidRPr="002B6562" w:rsidRDefault="00A30C36" w:rsidP="002B6562">
    <w:pPr>
      <w:spacing w:after="0" w:line="360" w:lineRule="auto"/>
      <w:ind w:left="720"/>
      <w:contextualSpacing/>
      <w:jc w:val="right"/>
      <w:rPr>
        <w:rFonts w:ascii="Century Gothic" w:hAnsi="Century Gothic"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498"/>
    <w:multiLevelType w:val="hybridMultilevel"/>
    <w:tmpl w:val="DE3422DE"/>
    <w:lvl w:ilvl="0" w:tplc="F0DCDF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1574AF"/>
    <w:multiLevelType w:val="hybridMultilevel"/>
    <w:tmpl w:val="4D5E63F6"/>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D45B8A"/>
    <w:multiLevelType w:val="hybridMultilevel"/>
    <w:tmpl w:val="0F6280B2"/>
    <w:lvl w:ilvl="0" w:tplc="15CC77B0">
      <w:start w:val="2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8B5F3F"/>
    <w:multiLevelType w:val="hybridMultilevel"/>
    <w:tmpl w:val="2620E1BC"/>
    <w:lvl w:ilvl="0" w:tplc="DB34FD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2DA7445"/>
    <w:multiLevelType w:val="hybridMultilevel"/>
    <w:tmpl w:val="8250A0C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C407308"/>
    <w:multiLevelType w:val="hybridMultilevel"/>
    <w:tmpl w:val="6CA673E6"/>
    <w:lvl w:ilvl="0" w:tplc="80EAFBC4">
      <w:start w:val="6"/>
      <w:numFmt w:val="lowerLetter"/>
      <w:lvlText w:val="%1)"/>
      <w:lvlJc w:val="left"/>
      <w:pPr>
        <w:ind w:left="720" w:hanging="360"/>
      </w:pPr>
      <w:rPr>
        <w:rFonts w:hint="default"/>
      </w:rPr>
    </w:lvl>
    <w:lvl w:ilvl="1" w:tplc="B472160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8F3E34"/>
    <w:multiLevelType w:val="hybridMultilevel"/>
    <w:tmpl w:val="117ABD3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CD5F44"/>
    <w:multiLevelType w:val="hybridMultilevel"/>
    <w:tmpl w:val="BD20FE26"/>
    <w:lvl w:ilvl="0" w:tplc="8C2E2216">
      <w:start w:val="24"/>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330909"/>
    <w:multiLevelType w:val="hybridMultilevel"/>
    <w:tmpl w:val="E31C4302"/>
    <w:lvl w:ilvl="0" w:tplc="1A0A7376">
      <w:start w:val="22"/>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8102BC"/>
    <w:multiLevelType w:val="hybridMultilevel"/>
    <w:tmpl w:val="8C227AB8"/>
    <w:lvl w:ilvl="0" w:tplc="71B8FB7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E635AC"/>
    <w:multiLevelType w:val="hybridMultilevel"/>
    <w:tmpl w:val="DB8AD5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415F1"/>
    <w:multiLevelType w:val="hybridMultilevel"/>
    <w:tmpl w:val="A37A0526"/>
    <w:lvl w:ilvl="0" w:tplc="37BC8E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E86016"/>
    <w:multiLevelType w:val="hybridMultilevel"/>
    <w:tmpl w:val="9EE43D8C"/>
    <w:lvl w:ilvl="0" w:tplc="09AC89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08220F"/>
    <w:multiLevelType w:val="hybridMultilevel"/>
    <w:tmpl w:val="A44C87C2"/>
    <w:lvl w:ilvl="0" w:tplc="99B4219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534C71"/>
    <w:multiLevelType w:val="hybridMultilevel"/>
    <w:tmpl w:val="46F0D230"/>
    <w:lvl w:ilvl="0" w:tplc="2F22B1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594B26"/>
    <w:multiLevelType w:val="hybridMultilevel"/>
    <w:tmpl w:val="6F7A3498"/>
    <w:lvl w:ilvl="0" w:tplc="0A329A00">
      <w:start w:val="5"/>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5940FE"/>
    <w:multiLevelType w:val="hybridMultilevel"/>
    <w:tmpl w:val="26F4B356"/>
    <w:lvl w:ilvl="0" w:tplc="4B92A4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402CE2"/>
    <w:multiLevelType w:val="hybridMultilevel"/>
    <w:tmpl w:val="21FE57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63652F"/>
    <w:multiLevelType w:val="hybridMultilevel"/>
    <w:tmpl w:val="A3068C08"/>
    <w:lvl w:ilvl="0" w:tplc="96608290">
      <w:start w:val="13"/>
      <w:numFmt w:val="upperRoman"/>
      <w:lvlText w:val="%1."/>
      <w:lvlJc w:val="left"/>
      <w:pPr>
        <w:ind w:left="1428"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D53638"/>
    <w:multiLevelType w:val="hybridMultilevel"/>
    <w:tmpl w:val="9E163CCE"/>
    <w:lvl w:ilvl="0" w:tplc="C5A848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AF2449"/>
    <w:multiLevelType w:val="hybridMultilevel"/>
    <w:tmpl w:val="946EE076"/>
    <w:lvl w:ilvl="0" w:tplc="0492CD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DC2124"/>
    <w:multiLevelType w:val="hybridMultilevel"/>
    <w:tmpl w:val="CAAA6D7A"/>
    <w:lvl w:ilvl="0" w:tplc="F462D9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7563EE"/>
    <w:multiLevelType w:val="hybridMultilevel"/>
    <w:tmpl w:val="CA406F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A56117"/>
    <w:multiLevelType w:val="hybridMultilevel"/>
    <w:tmpl w:val="E8E2C2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8D192F"/>
    <w:multiLevelType w:val="hybridMultilevel"/>
    <w:tmpl w:val="9E9AF65E"/>
    <w:lvl w:ilvl="0" w:tplc="5B346C22">
      <w:start w:val="3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B05A3A"/>
    <w:multiLevelType w:val="hybridMultilevel"/>
    <w:tmpl w:val="CFF45224"/>
    <w:lvl w:ilvl="0" w:tplc="032AD7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1B610B"/>
    <w:multiLevelType w:val="hybridMultilevel"/>
    <w:tmpl w:val="435EB7E0"/>
    <w:lvl w:ilvl="0" w:tplc="6316CD5C">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213CB0"/>
    <w:multiLevelType w:val="hybridMultilevel"/>
    <w:tmpl w:val="CDCA59D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BDC1E21"/>
    <w:multiLevelType w:val="hybridMultilevel"/>
    <w:tmpl w:val="69D699DE"/>
    <w:lvl w:ilvl="0" w:tplc="3CE44056">
      <w:start w:val="1"/>
      <w:numFmt w:val="upperRoman"/>
      <w:lvlText w:val="%1."/>
      <w:lvlJc w:val="left"/>
      <w:pPr>
        <w:ind w:left="1080" w:hanging="720"/>
      </w:pPr>
      <w:rPr>
        <w:rFonts w:hint="default"/>
      </w:rPr>
    </w:lvl>
    <w:lvl w:ilvl="1" w:tplc="5ED697DC">
      <w:start w:val="2"/>
      <w:numFmt w:val="bullet"/>
      <w:lvlText w:val="-"/>
      <w:lvlJc w:val="left"/>
      <w:pPr>
        <w:ind w:left="1440" w:hanging="360"/>
      </w:pPr>
      <w:rPr>
        <w:rFonts w:ascii="Century Gothic" w:eastAsia="Calibri" w:hAnsi="Century Gothic"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565BC3"/>
    <w:multiLevelType w:val="hybridMultilevel"/>
    <w:tmpl w:val="34388F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711897"/>
    <w:multiLevelType w:val="hybridMultilevel"/>
    <w:tmpl w:val="FF7CF5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425A77"/>
    <w:multiLevelType w:val="hybridMultilevel"/>
    <w:tmpl w:val="197888FA"/>
    <w:lvl w:ilvl="0" w:tplc="9CCE26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310C47"/>
    <w:multiLevelType w:val="hybridMultilevel"/>
    <w:tmpl w:val="686C751C"/>
    <w:lvl w:ilvl="0" w:tplc="D88C1272">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EB7B20"/>
    <w:multiLevelType w:val="hybridMultilevel"/>
    <w:tmpl w:val="734C90BA"/>
    <w:lvl w:ilvl="0" w:tplc="E0CEF90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5D4690"/>
    <w:multiLevelType w:val="hybridMultilevel"/>
    <w:tmpl w:val="303E47B4"/>
    <w:lvl w:ilvl="0" w:tplc="ACA0FF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8659BA"/>
    <w:multiLevelType w:val="hybridMultilevel"/>
    <w:tmpl w:val="A38EE692"/>
    <w:lvl w:ilvl="0" w:tplc="1E80879A">
      <w:numFmt w:val="bullet"/>
      <w:lvlText w:val="•"/>
      <w:lvlJc w:val="left"/>
      <w:pPr>
        <w:ind w:left="720" w:hanging="360"/>
      </w:pPr>
      <w:rPr>
        <w:rFonts w:ascii="Century Gothic" w:eastAsia="Times New Roman" w:hAnsi="Century Gothic"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2"/>
  </w:num>
  <w:num w:numId="4">
    <w:abstractNumId w:val="35"/>
  </w:num>
  <w:num w:numId="5">
    <w:abstractNumId w:val="17"/>
  </w:num>
  <w:num w:numId="6">
    <w:abstractNumId w:val="34"/>
  </w:num>
  <w:num w:numId="7">
    <w:abstractNumId w:val="11"/>
  </w:num>
  <w:num w:numId="8">
    <w:abstractNumId w:val="3"/>
  </w:num>
  <w:num w:numId="9">
    <w:abstractNumId w:val="33"/>
  </w:num>
  <w:num w:numId="10">
    <w:abstractNumId w:val="14"/>
  </w:num>
  <w:num w:numId="11">
    <w:abstractNumId w:val="24"/>
  </w:num>
  <w:num w:numId="12">
    <w:abstractNumId w:val="19"/>
  </w:num>
  <w:num w:numId="13">
    <w:abstractNumId w:val="2"/>
  </w:num>
  <w:num w:numId="14">
    <w:abstractNumId w:val="8"/>
  </w:num>
  <w:num w:numId="15">
    <w:abstractNumId w:val="13"/>
  </w:num>
  <w:num w:numId="16">
    <w:abstractNumId w:val="1"/>
  </w:num>
  <w:num w:numId="17">
    <w:abstractNumId w:val="18"/>
  </w:num>
  <w:num w:numId="18">
    <w:abstractNumId w:val="22"/>
  </w:num>
  <w:num w:numId="19">
    <w:abstractNumId w:val="0"/>
  </w:num>
  <w:num w:numId="20">
    <w:abstractNumId w:val="23"/>
  </w:num>
  <w:num w:numId="21">
    <w:abstractNumId w:val="12"/>
  </w:num>
  <w:num w:numId="22">
    <w:abstractNumId w:val="6"/>
  </w:num>
  <w:num w:numId="23">
    <w:abstractNumId w:val="28"/>
  </w:num>
  <w:num w:numId="24">
    <w:abstractNumId w:val="29"/>
  </w:num>
  <w:num w:numId="25">
    <w:abstractNumId w:val="25"/>
  </w:num>
  <w:num w:numId="26">
    <w:abstractNumId w:val="30"/>
  </w:num>
  <w:num w:numId="27">
    <w:abstractNumId w:val="21"/>
  </w:num>
  <w:num w:numId="28">
    <w:abstractNumId w:val="27"/>
  </w:num>
  <w:num w:numId="29">
    <w:abstractNumId w:val="20"/>
  </w:num>
  <w:num w:numId="30">
    <w:abstractNumId w:val="4"/>
  </w:num>
  <w:num w:numId="31">
    <w:abstractNumId w:val="15"/>
  </w:num>
  <w:num w:numId="32">
    <w:abstractNumId w:val="10"/>
  </w:num>
  <w:num w:numId="33">
    <w:abstractNumId w:val="16"/>
  </w:num>
  <w:num w:numId="34">
    <w:abstractNumId w:val="7"/>
  </w:num>
  <w:num w:numId="35">
    <w:abstractNumId w:val="31"/>
  </w:num>
  <w:num w:numId="3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C3"/>
    <w:rsid w:val="00001947"/>
    <w:rsid w:val="000069EE"/>
    <w:rsid w:val="00006EE7"/>
    <w:rsid w:val="00011801"/>
    <w:rsid w:val="00011ED9"/>
    <w:rsid w:val="00017583"/>
    <w:rsid w:val="000230FE"/>
    <w:rsid w:val="00031742"/>
    <w:rsid w:val="00034D6C"/>
    <w:rsid w:val="00034F62"/>
    <w:rsid w:val="00040933"/>
    <w:rsid w:val="000416E1"/>
    <w:rsid w:val="000458AA"/>
    <w:rsid w:val="00050EC0"/>
    <w:rsid w:val="000521C4"/>
    <w:rsid w:val="0005225D"/>
    <w:rsid w:val="000658E8"/>
    <w:rsid w:val="00067BC9"/>
    <w:rsid w:val="00082211"/>
    <w:rsid w:val="00083DB0"/>
    <w:rsid w:val="000851B5"/>
    <w:rsid w:val="000852EF"/>
    <w:rsid w:val="000A49CC"/>
    <w:rsid w:val="000A7394"/>
    <w:rsid w:val="000B19C5"/>
    <w:rsid w:val="000B7F3E"/>
    <w:rsid w:val="000C2986"/>
    <w:rsid w:val="000C5D84"/>
    <w:rsid w:val="000D0B79"/>
    <w:rsid w:val="000E2574"/>
    <w:rsid w:val="000E301D"/>
    <w:rsid w:val="000E4E83"/>
    <w:rsid w:val="000E7559"/>
    <w:rsid w:val="000F2B5C"/>
    <w:rsid w:val="000F7395"/>
    <w:rsid w:val="001035DF"/>
    <w:rsid w:val="00107830"/>
    <w:rsid w:val="0011639E"/>
    <w:rsid w:val="00117D52"/>
    <w:rsid w:val="00122146"/>
    <w:rsid w:val="001275B1"/>
    <w:rsid w:val="0013256B"/>
    <w:rsid w:val="00137754"/>
    <w:rsid w:val="001416B4"/>
    <w:rsid w:val="00142956"/>
    <w:rsid w:val="00150C29"/>
    <w:rsid w:val="00150C52"/>
    <w:rsid w:val="00163C8D"/>
    <w:rsid w:val="0016679B"/>
    <w:rsid w:val="001830C9"/>
    <w:rsid w:val="00183BF8"/>
    <w:rsid w:val="001946C9"/>
    <w:rsid w:val="00195ADF"/>
    <w:rsid w:val="00197695"/>
    <w:rsid w:val="001A2424"/>
    <w:rsid w:val="001A4E03"/>
    <w:rsid w:val="001B02FA"/>
    <w:rsid w:val="001B3DCA"/>
    <w:rsid w:val="001C0DE2"/>
    <w:rsid w:val="001C1BCF"/>
    <w:rsid w:val="001D47AB"/>
    <w:rsid w:val="001D4F15"/>
    <w:rsid w:val="001D6533"/>
    <w:rsid w:val="001E0785"/>
    <w:rsid w:val="001E6ABB"/>
    <w:rsid w:val="001F0084"/>
    <w:rsid w:val="001F0B3F"/>
    <w:rsid w:val="001F2FB7"/>
    <w:rsid w:val="001F4554"/>
    <w:rsid w:val="001F6275"/>
    <w:rsid w:val="00202FFB"/>
    <w:rsid w:val="00211FB4"/>
    <w:rsid w:val="00215365"/>
    <w:rsid w:val="002243F5"/>
    <w:rsid w:val="00227F3D"/>
    <w:rsid w:val="00234148"/>
    <w:rsid w:val="00234B04"/>
    <w:rsid w:val="00234E64"/>
    <w:rsid w:val="0023779C"/>
    <w:rsid w:val="00243494"/>
    <w:rsid w:val="0024401B"/>
    <w:rsid w:val="00244999"/>
    <w:rsid w:val="00246787"/>
    <w:rsid w:val="002501F1"/>
    <w:rsid w:val="00252DD9"/>
    <w:rsid w:val="002545A6"/>
    <w:rsid w:val="00255B40"/>
    <w:rsid w:val="002567BB"/>
    <w:rsid w:val="00256ED0"/>
    <w:rsid w:val="00257D9E"/>
    <w:rsid w:val="00262129"/>
    <w:rsid w:val="002626C7"/>
    <w:rsid w:val="00265D3C"/>
    <w:rsid w:val="00272064"/>
    <w:rsid w:val="0027251D"/>
    <w:rsid w:val="002756D5"/>
    <w:rsid w:val="00276B71"/>
    <w:rsid w:val="00283EBF"/>
    <w:rsid w:val="002860B1"/>
    <w:rsid w:val="00291BE7"/>
    <w:rsid w:val="00292CBF"/>
    <w:rsid w:val="002945A2"/>
    <w:rsid w:val="00294E92"/>
    <w:rsid w:val="00296578"/>
    <w:rsid w:val="002A0544"/>
    <w:rsid w:val="002A2DC8"/>
    <w:rsid w:val="002A5B27"/>
    <w:rsid w:val="002A7D57"/>
    <w:rsid w:val="002B03DA"/>
    <w:rsid w:val="002B2DD0"/>
    <w:rsid w:val="002B3142"/>
    <w:rsid w:val="002B6562"/>
    <w:rsid w:val="002C17C2"/>
    <w:rsid w:val="002C683F"/>
    <w:rsid w:val="002D3326"/>
    <w:rsid w:val="002D4095"/>
    <w:rsid w:val="002D480C"/>
    <w:rsid w:val="002E3C59"/>
    <w:rsid w:val="002E514E"/>
    <w:rsid w:val="002F1832"/>
    <w:rsid w:val="002F5F29"/>
    <w:rsid w:val="002F6846"/>
    <w:rsid w:val="003028D2"/>
    <w:rsid w:val="00302DB2"/>
    <w:rsid w:val="0030662F"/>
    <w:rsid w:val="00307331"/>
    <w:rsid w:val="00312DDC"/>
    <w:rsid w:val="00315C47"/>
    <w:rsid w:val="00317979"/>
    <w:rsid w:val="003201D1"/>
    <w:rsid w:val="00324A1E"/>
    <w:rsid w:val="003261AB"/>
    <w:rsid w:val="0033074C"/>
    <w:rsid w:val="00336A74"/>
    <w:rsid w:val="00343348"/>
    <w:rsid w:val="00351F6C"/>
    <w:rsid w:val="003539A7"/>
    <w:rsid w:val="00355A35"/>
    <w:rsid w:val="00356B3E"/>
    <w:rsid w:val="0035757A"/>
    <w:rsid w:val="00357665"/>
    <w:rsid w:val="0036106F"/>
    <w:rsid w:val="00361FA8"/>
    <w:rsid w:val="00362BCB"/>
    <w:rsid w:val="00371B4F"/>
    <w:rsid w:val="003723C4"/>
    <w:rsid w:val="0038025E"/>
    <w:rsid w:val="00382625"/>
    <w:rsid w:val="00384020"/>
    <w:rsid w:val="003856B4"/>
    <w:rsid w:val="003959C1"/>
    <w:rsid w:val="0039613E"/>
    <w:rsid w:val="00397655"/>
    <w:rsid w:val="003A2A0F"/>
    <w:rsid w:val="003B054B"/>
    <w:rsid w:val="003C3456"/>
    <w:rsid w:val="003D10A8"/>
    <w:rsid w:val="003E3F45"/>
    <w:rsid w:val="003E61C2"/>
    <w:rsid w:val="003F0776"/>
    <w:rsid w:val="00402698"/>
    <w:rsid w:val="0040351D"/>
    <w:rsid w:val="00403545"/>
    <w:rsid w:val="00403CA5"/>
    <w:rsid w:val="00404F72"/>
    <w:rsid w:val="00405A73"/>
    <w:rsid w:val="00410F27"/>
    <w:rsid w:val="00411A4E"/>
    <w:rsid w:val="00412EE9"/>
    <w:rsid w:val="004141B2"/>
    <w:rsid w:val="00423ACB"/>
    <w:rsid w:val="004245D9"/>
    <w:rsid w:val="00426877"/>
    <w:rsid w:val="00427F08"/>
    <w:rsid w:val="004328D1"/>
    <w:rsid w:val="004348D8"/>
    <w:rsid w:val="00435D0F"/>
    <w:rsid w:val="00440B65"/>
    <w:rsid w:val="00441037"/>
    <w:rsid w:val="00444EE3"/>
    <w:rsid w:val="00445EC3"/>
    <w:rsid w:val="00451185"/>
    <w:rsid w:val="00451AF3"/>
    <w:rsid w:val="0046582F"/>
    <w:rsid w:val="0047022A"/>
    <w:rsid w:val="00481C3C"/>
    <w:rsid w:val="00482FE7"/>
    <w:rsid w:val="0048443E"/>
    <w:rsid w:val="00492441"/>
    <w:rsid w:val="004A28F3"/>
    <w:rsid w:val="004A46ED"/>
    <w:rsid w:val="004B28AF"/>
    <w:rsid w:val="004B2E68"/>
    <w:rsid w:val="004B6669"/>
    <w:rsid w:val="004B6682"/>
    <w:rsid w:val="004C41D2"/>
    <w:rsid w:val="004C4F41"/>
    <w:rsid w:val="004D050B"/>
    <w:rsid w:val="004D1A66"/>
    <w:rsid w:val="004D5D5F"/>
    <w:rsid w:val="004E011D"/>
    <w:rsid w:val="004E024C"/>
    <w:rsid w:val="004E03BB"/>
    <w:rsid w:val="004E79B5"/>
    <w:rsid w:val="004F1DE1"/>
    <w:rsid w:val="004F387D"/>
    <w:rsid w:val="004F6C17"/>
    <w:rsid w:val="005038B9"/>
    <w:rsid w:val="005039D2"/>
    <w:rsid w:val="005118A0"/>
    <w:rsid w:val="00511EEE"/>
    <w:rsid w:val="00513A9D"/>
    <w:rsid w:val="005232CE"/>
    <w:rsid w:val="005257AF"/>
    <w:rsid w:val="005316CD"/>
    <w:rsid w:val="005321A0"/>
    <w:rsid w:val="005346C0"/>
    <w:rsid w:val="0053588F"/>
    <w:rsid w:val="00541D97"/>
    <w:rsid w:val="00542958"/>
    <w:rsid w:val="00542D48"/>
    <w:rsid w:val="00544FD4"/>
    <w:rsid w:val="00562E53"/>
    <w:rsid w:val="005669F0"/>
    <w:rsid w:val="005762CC"/>
    <w:rsid w:val="00585E1C"/>
    <w:rsid w:val="00591134"/>
    <w:rsid w:val="005923C2"/>
    <w:rsid w:val="005B3775"/>
    <w:rsid w:val="005B6D18"/>
    <w:rsid w:val="005B72F5"/>
    <w:rsid w:val="005B7DE0"/>
    <w:rsid w:val="005C16C8"/>
    <w:rsid w:val="005C2527"/>
    <w:rsid w:val="005C2CA1"/>
    <w:rsid w:val="005D3CFC"/>
    <w:rsid w:val="005D44E4"/>
    <w:rsid w:val="005E51B9"/>
    <w:rsid w:val="005E7782"/>
    <w:rsid w:val="005F08B0"/>
    <w:rsid w:val="005F1876"/>
    <w:rsid w:val="00604555"/>
    <w:rsid w:val="00611334"/>
    <w:rsid w:val="0061716E"/>
    <w:rsid w:val="0062095D"/>
    <w:rsid w:val="00630AF7"/>
    <w:rsid w:val="006340F3"/>
    <w:rsid w:val="006365D9"/>
    <w:rsid w:val="00643BD0"/>
    <w:rsid w:val="00644156"/>
    <w:rsid w:val="00652B86"/>
    <w:rsid w:val="0065375F"/>
    <w:rsid w:val="00653A49"/>
    <w:rsid w:val="0065770F"/>
    <w:rsid w:val="00661976"/>
    <w:rsid w:val="00663AAE"/>
    <w:rsid w:val="00666DD5"/>
    <w:rsid w:val="006774E7"/>
    <w:rsid w:val="0068630A"/>
    <w:rsid w:val="0069091B"/>
    <w:rsid w:val="0069125D"/>
    <w:rsid w:val="00693892"/>
    <w:rsid w:val="0069444A"/>
    <w:rsid w:val="006A0D96"/>
    <w:rsid w:val="006A0E8B"/>
    <w:rsid w:val="006A1680"/>
    <w:rsid w:val="006A522B"/>
    <w:rsid w:val="006B168B"/>
    <w:rsid w:val="006C214E"/>
    <w:rsid w:val="006C5DF8"/>
    <w:rsid w:val="006C6374"/>
    <w:rsid w:val="006C6442"/>
    <w:rsid w:val="006D0FE3"/>
    <w:rsid w:val="006D35CD"/>
    <w:rsid w:val="006D479D"/>
    <w:rsid w:val="006D4D83"/>
    <w:rsid w:val="006D7CC4"/>
    <w:rsid w:val="006E3063"/>
    <w:rsid w:val="006E43EA"/>
    <w:rsid w:val="006F31A6"/>
    <w:rsid w:val="006F3D2B"/>
    <w:rsid w:val="006F5533"/>
    <w:rsid w:val="00700A04"/>
    <w:rsid w:val="00702FF7"/>
    <w:rsid w:val="007032EB"/>
    <w:rsid w:val="007051AA"/>
    <w:rsid w:val="00717A7A"/>
    <w:rsid w:val="00720E51"/>
    <w:rsid w:val="00726347"/>
    <w:rsid w:val="00726E11"/>
    <w:rsid w:val="00733DCF"/>
    <w:rsid w:val="00735F8E"/>
    <w:rsid w:val="007410C3"/>
    <w:rsid w:val="00744494"/>
    <w:rsid w:val="0074759B"/>
    <w:rsid w:val="0074759E"/>
    <w:rsid w:val="00752979"/>
    <w:rsid w:val="0075332E"/>
    <w:rsid w:val="00754F95"/>
    <w:rsid w:val="00756073"/>
    <w:rsid w:val="00762186"/>
    <w:rsid w:val="00763346"/>
    <w:rsid w:val="00764D90"/>
    <w:rsid w:val="00773156"/>
    <w:rsid w:val="00777FA6"/>
    <w:rsid w:val="007805DC"/>
    <w:rsid w:val="00780CDD"/>
    <w:rsid w:val="00782ADA"/>
    <w:rsid w:val="00792F15"/>
    <w:rsid w:val="007946E9"/>
    <w:rsid w:val="00797A71"/>
    <w:rsid w:val="00797D4B"/>
    <w:rsid w:val="007A0DE5"/>
    <w:rsid w:val="007A1C16"/>
    <w:rsid w:val="007A6E2B"/>
    <w:rsid w:val="007B01E4"/>
    <w:rsid w:val="007B29A0"/>
    <w:rsid w:val="007B415C"/>
    <w:rsid w:val="007C5760"/>
    <w:rsid w:val="007D2283"/>
    <w:rsid w:val="007D46B0"/>
    <w:rsid w:val="007D5EF6"/>
    <w:rsid w:val="007D7327"/>
    <w:rsid w:val="007E1B0D"/>
    <w:rsid w:val="007E3B26"/>
    <w:rsid w:val="007E486A"/>
    <w:rsid w:val="007E5282"/>
    <w:rsid w:val="007F070D"/>
    <w:rsid w:val="007F17F8"/>
    <w:rsid w:val="007F5BDD"/>
    <w:rsid w:val="007F6332"/>
    <w:rsid w:val="00802B45"/>
    <w:rsid w:val="008144FE"/>
    <w:rsid w:val="00814D6F"/>
    <w:rsid w:val="00815EBD"/>
    <w:rsid w:val="00817569"/>
    <w:rsid w:val="008176B5"/>
    <w:rsid w:val="00824323"/>
    <w:rsid w:val="008310F0"/>
    <w:rsid w:val="008327A7"/>
    <w:rsid w:val="00833FAA"/>
    <w:rsid w:val="00840BFD"/>
    <w:rsid w:val="008410E2"/>
    <w:rsid w:val="008476FA"/>
    <w:rsid w:val="008541DB"/>
    <w:rsid w:val="00854945"/>
    <w:rsid w:val="008567D5"/>
    <w:rsid w:val="00862B87"/>
    <w:rsid w:val="008637D5"/>
    <w:rsid w:val="008657F2"/>
    <w:rsid w:val="00867A0F"/>
    <w:rsid w:val="00873D22"/>
    <w:rsid w:val="00876D49"/>
    <w:rsid w:val="008772BC"/>
    <w:rsid w:val="00885383"/>
    <w:rsid w:val="008861A4"/>
    <w:rsid w:val="008869F4"/>
    <w:rsid w:val="0089128C"/>
    <w:rsid w:val="0089155C"/>
    <w:rsid w:val="0089222F"/>
    <w:rsid w:val="008929FD"/>
    <w:rsid w:val="00895119"/>
    <w:rsid w:val="008A23CF"/>
    <w:rsid w:val="008A47B5"/>
    <w:rsid w:val="008A6D25"/>
    <w:rsid w:val="008A7605"/>
    <w:rsid w:val="008C241B"/>
    <w:rsid w:val="008C6E5F"/>
    <w:rsid w:val="008C7A49"/>
    <w:rsid w:val="008D3624"/>
    <w:rsid w:val="008D5474"/>
    <w:rsid w:val="008D61FA"/>
    <w:rsid w:val="008E3B68"/>
    <w:rsid w:val="008E47F5"/>
    <w:rsid w:val="008E4E0B"/>
    <w:rsid w:val="008F4BFF"/>
    <w:rsid w:val="009018A8"/>
    <w:rsid w:val="0091018C"/>
    <w:rsid w:val="00914F44"/>
    <w:rsid w:val="00915916"/>
    <w:rsid w:val="00926C3C"/>
    <w:rsid w:val="00933BFE"/>
    <w:rsid w:val="00933D10"/>
    <w:rsid w:val="00937A8A"/>
    <w:rsid w:val="00941053"/>
    <w:rsid w:val="009413BA"/>
    <w:rsid w:val="00944CBB"/>
    <w:rsid w:val="00945446"/>
    <w:rsid w:val="00946A9C"/>
    <w:rsid w:val="009500C9"/>
    <w:rsid w:val="00953147"/>
    <w:rsid w:val="00953CE6"/>
    <w:rsid w:val="00957DC3"/>
    <w:rsid w:val="0096613C"/>
    <w:rsid w:val="00966E73"/>
    <w:rsid w:val="00975105"/>
    <w:rsid w:val="009810C0"/>
    <w:rsid w:val="00982C3C"/>
    <w:rsid w:val="00985FB3"/>
    <w:rsid w:val="00986EE9"/>
    <w:rsid w:val="009879AB"/>
    <w:rsid w:val="00990B87"/>
    <w:rsid w:val="00992829"/>
    <w:rsid w:val="00994235"/>
    <w:rsid w:val="00994BD3"/>
    <w:rsid w:val="00997143"/>
    <w:rsid w:val="009A116B"/>
    <w:rsid w:val="009A3148"/>
    <w:rsid w:val="009A5B29"/>
    <w:rsid w:val="009B1F9D"/>
    <w:rsid w:val="009B6EAF"/>
    <w:rsid w:val="009C3850"/>
    <w:rsid w:val="009D7366"/>
    <w:rsid w:val="009F0514"/>
    <w:rsid w:val="009F3B35"/>
    <w:rsid w:val="009F4668"/>
    <w:rsid w:val="009F4F8E"/>
    <w:rsid w:val="009F5443"/>
    <w:rsid w:val="009F7470"/>
    <w:rsid w:val="00A0009B"/>
    <w:rsid w:val="00A01C1E"/>
    <w:rsid w:val="00A03E02"/>
    <w:rsid w:val="00A05077"/>
    <w:rsid w:val="00A23D2B"/>
    <w:rsid w:val="00A23EF0"/>
    <w:rsid w:val="00A30C36"/>
    <w:rsid w:val="00A3389C"/>
    <w:rsid w:val="00A34987"/>
    <w:rsid w:val="00A405E7"/>
    <w:rsid w:val="00A418D6"/>
    <w:rsid w:val="00A439F2"/>
    <w:rsid w:val="00A46EE7"/>
    <w:rsid w:val="00A47633"/>
    <w:rsid w:val="00A551FC"/>
    <w:rsid w:val="00A56D96"/>
    <w:rsid w:val="00A57BE8"/>
    <w:rsid w:val="00A67A6E"/>
    <w:rsid w:val="00A81888"/>
    <w:rsid w:val="00A84E1E"/>
    <w:rsid w:val="00A84F01"/>
    <w:rsid w:val="00A91A3A"/>
    <w:rsid w:val="00A91BDB"/>
    <w:rsid w:val="00A94F10"/>
    <w:rsid w:val="00A97BDB"/>
    <w:rsid w:val="00AA1C01"/>
    <w:rsid w:val="00AB3F04"/>
    <w:rsid w:val="00AB4342"/>
    <w:rsid w:val="00AB4B99"/>
    <w:rsid w:val="00AB53D5"/>
    <w:rsid w:val="00AB6CD3"/>
    <w:rsid w:val="00AC025B"/>
    <w:rsid w:val="00AC3727"/>
    <w:rsid w:val="00AC7EF6"/>
    <w:rsid w:val="00AD1AFC"/>
    <w:rsid w:val="00AD1CE8"/>
    <w:rsid w:val="00AD354E"/>
    <w:rsid w:val="00AD5459"/>
    <w:rsid w:val="00AD6F09"/>
    <w:rsid w:val="00AE38AA"/>
    <w:rsid w:val="00AE5B39"/>
    <w:rsid w:val="00AE64D7"/>
    <w:rsid w:val="00AF45BF"/>
    <w:rsid w:val="00AF6F8F"/>
    <w:rsid w:val="00B0002E"/>
    <w:rsid w:val="00B00E3A"/>
    <w:rsid w:val="00B01C62"/>
    <w:rsid w:val="00B06578"/>
    <w:rsid w:val="00B14078"/>
    <w:rsid w:val="00B14C76"/>
    <w:rsid w:val="00B21035"/>
    <w:rsid w:val="00B211A2"/>
    <w:rsid w:val="00B25800"/>
    <w:rsid w:val="00B25C1C"/>
    <w:rsid w:val="00B26A9F"/>
    <w:rsid w:val="00B3563B"/>
    <w:rsid w:val="00B403FB"/>
    <w:rsid w:val="00B41979"/>
    <w:rsid w:val="00B45F8A"/>
    <w:rsid w:val="00B46100"/>
    <w:rsid w:val="00B6459B"/>
    <w:rsid w:val="00B7606B"/>
    <w:rsid w:val="00B77107"/>
    <w:rsid w:val="00B8078A"/>
    <w:rsid w:val="00B83015"/>
    <w:rsid w:val="00B8326A"/>
    <w:rsid w:val="00B91FDE"/>
    <w:rsid w:val="00BA07DB"/>
    <w:rsid w:val="00BA1F1A"/>
    <w:rsid w:val="00BA21D2"/>
    <w:rsid w:val="00BA46FC"/>
    <w:rsid w:val="00BA5E90"/>
    <w:rsid w:val="00BA721C"/>
    <w:rsid w:val="00BB09BF"/>
    <w:rsid w:val="00BB0F40"/>
    <w:rsid w:val="00BB2444"/>
    <w:rsid w:val="00BB7716"/>
    <w:rsid w:val="00BC09BE"/>
    <w:rsid w:val="00BC3385"/>
    <w:rsid w:val="00BC4800"/>
    <w:rsid w:val="00BD106A"/>
    <w:rsid w:val="00BE20AB"/>
    <w:rsid w:val="00BE4E30"/>
    <w:rsid w:val="00BF6BD0"/>
    <w:rsid w:val="00C025C8"/>
    <w:rsid w:val="00C03D14"/>
    <w:rsid w:val="00C126AA"/>
    <w:rsid w:val="00C12DFD"/>
    <w:rsid w:val="00C12EA6"/>
    <w:rsid w:val="00C14304"/>
    <w:rsid w:val="00C17264"/>
    <w:rsid w:val="00C21CB4"/>
    <w:rsid w:val="00C23879"/>
    <w:rsid w:val="00C246C7"/>
    <w:rsid w:val="00C24DBE"/>
    <w:rsid w:val="00C27D7C"/>
    <w:rsid w:val="00C3449C"/>
    <w:rsid w:val="00C3565F"/>
    <w:rsid w:val="00C37AB4"/>
    <w:rsid w:val="00C41D89"/>
    <w:rsid w:val="00C46A4E"/>
    <w:rsid w:val="00C515DB"/>
    <w:rsid w:val="00C630F1"/>
    <w:rsid w:val="00C6550E"/>
    <w:rsid w:val="00C67ECD"/>
    <w:rsid w:val="00C766D8"/>
    <w:rsid w:val="00C83BFC"/>
    <w:rsid w:val="00C85131"/>
    <w:rsid w:val="00CA18D0"/>
    <w:rsid w:val="00CA48CA"/>
    <w:rsid w:val="00CA4A3E"/>
    <w:rsid w:val="00CB7D95"/>
    <w:rsid w:val="00CC2518"/>
    <w:rsid w:val="00CC74AF"/>
    <w:rsid w:val="00CD2C02"/>
    <w:rsid w:val="00CD6A01"/>
    <w:rsid w:val="00CE2963"/>
    <w:rsid w:val="00CE48BE"/>
    <w:rsid w:val="00CF3F63"/>
    <w:rsid w:val="00CF4561"/>
    <w:rsid w:val="00D07215"/>
    <w:rsid w:val="00D158DC"/>
    <w:rsid w:val="00D20A7A"/>
    <w:rsid w:val="00D21EDB"/>
    <w:rsid w:val="00D27588"/>
    <w:rsid w:val="00D27630"/>
    <w:rsid w:val="00D37DC6"/>
    <w:rsid w:val="00D41BBC"/>
    <w:rsid w:val="00D523E1"/>
    <w:rsid w:val="00D54E65"/>
    <w:rsid w:val="00D574F6"/>
    <w:rsid w:val="00D60D71"/>
    <w:rsid w:val="00D6260E"/>
    <w:rsid w:val="00D67A58"/>
    <w:rsid w:val="00D7212F"/>
    <w:rsid w:val="00D72795"/>
    <w:rsid w:val="00D74726"/>
    <w:rsid w:val="00D74E7B"/>
    <w:rsid w:val="00D75E7E"/>
    <w:rsid w:val="00D762BB"/>
    <w:rsid w:val="00D80AB1"/>
    <w:rsid w:val="00D8160C"/>
    <w:rsid w:val="00D90A4D"/>
    <w:rsid w:val="00D91EE2"/>
    <w:rsid w:val="00D930AD"/>
    <w:rsid w:val="00D95326"/>
    <w:rsid w:val="00D96879"/>
    <w:rsid w:val="00DA2DA4"/>
    <w:rsid w:val="00DA7A64"/>
    <w:rsid w:val="00DB49FA"/>
    <w:rsid w:val="00DC4028"/>
    <w:rsid w:val="00DC5543"/>
    <w:rsid w:val="00DC659B"/>
    <w:rsid w:val="00DD1C7F"/>
    <w:rsid w:val="00DD276B"/>
    <w:rsid w:val="00DD6A65"/>
    <w:rsid w:val="00DD730D"/>
    <w:rsid w:val="00DE01A5"/>
    <w:rsid w:val="00DE164F"/>
    <w:rsid w:val="00DE575B"/>
    <w:rsid w:val="00DF3B77"/>
    <w:rsid w:val="00DF7FC9"/>
    <w:rsid w:val="00E02618"/>
    <w:rsid w:val="00E02D1D"/>
    <w:rsid w:val="00E04831"/>
    <w:rsid w:val="00E0531A"/>
    <w:rsid w:val="00E107D5"/>
    <w:rsid w:val="00E17239"/>
    <w:rsid w:val="00E20F6D"/>
    <w:rsid w:val="00E23C2B"/>
    <w:rsid w:val="00E25E61"/>
    <w:rsid w:val="00E26FE8"/>
    <w:rsid w:val="00E2793B"/>
    <w:rsid w:val="00E308AF"/>
    <w:rsid w:val="00E32087"/>
    <w:rsid w:val="00E36039"/>
    <w:rsid w:val="00E365A5"/>
    <w:rsid w:val="00E42BD1"/>
    <w:rsid w:val="00E44683"/>
    <w:rsid w:val="00E546A4"/>
    <w:rsid w:val="00E56955"/>
    <w:rsid w:val="00E64331"/>
    <w:rsid w:val="00E6507F"/>
    <w:rsid w:val="00E76D68"/>
    <w:rsid w:val="00E7710C"/>
    <w:rsid w:val="00E81091"/>
    <w:rsid w:val="00E84F47"/>
    <w:rsid w:val="00E85AFF"/>
    <w:rsid w:val="00E93097"/>
    <w:rsid w:val="00E933C1"/>
    <w:rsid w:val="00EC17B9"/>
    <w:rsid w:val="00EC1B2A"/>
    <w:rsid w:val="00EC203D"/>
    <w:rsid w:val="00EC31AE"/>
    <w:rsid w:val="00ED4841"/>
    <w:rsid w:val="00ED4A40"/>
    <w:rsid w:val="00ED7334"/>
    <w:rsid w:val="00EE1208"/>
    <w:rsid w:val="00EE2699"/>
    <w:rsid w:val="00EE4B2E"/>
    <w:rsid w:val="00EF2623"/>
    <w:rsid w:val="00EF2690"/>
    <w:rsid w:val="00EF3854"/>
    <w:rsid w:val="00EF6F7E"/>
    <w:rsid w:val="00EF7A09"/>
    <w:rsid w:val="00EF7C61"/>
    <w:rsid w:val="00F05B3F"/>
    <w:rsid w:val="00F068E7"/>
    <w:rsid w:val="00F06B3F"/>
    <w:rsid w:val="00F15638"/>
    <w:rsid w:val="00F171F7"/>
    <w:rsid w:val="00F2129A"/>
    <w:rsid w:val="00F30D63"/>
    <w:rsid w:val="00F4034B"/>
    <w:rsid w:val="00F44614"/>
    <w:rsid w:val="00F53513"/>
    <w:rsid w:val="00F54D02"/>
    <w:rsid w:val="00F56E8F"/>
    <w:rsid w:val="00F6419F"/>
    <w:rsid w:val="00F66B93"/>
    <w:rsid w:val="00F679AF"/>
    <w:rsid w:val="00F71391"/>
    <w:rsid w:val="00F74A99"/>
    <w:rsid w:val="00F7662D"/>
    <w:rsid w:val="00F91724"/>
    <w:rsid w:val="00F95F18"/>
    <w:rsid w:val="00FA2751"/>
    <w:rsid w:val="00FA329B"/>
    <w:rsid w:val="00FA37BA"/>
    <w:rsid w:val="00FA69BE"/>
    <w:rsid w:val="00FB0555"/>
    <w:rsid w:val="00FB236A"/>
    <w:rsid w:val="00FC05A7"/>
    <w:rsid w:val="00FC1449"/>
    <w:rsid w:val="00FD07DE"/>
    <w:rsid w:val="00FD553F"/>
    <w:rsid w:val="00FD5F15"/>
    <w:rsid w:val="00FE6453"/>
    <w:rsid w:val="00FE6E2E"/>
    <w:rsid w:val="00FF47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styleId="Mencinsinresolver">
    <w:name w:val="Unresolved Mention"/>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styleId="Hipervnculovisitado">
    <w:name w:val="FollowedHyperlink"/>
    <w:basedOn w:val="Fuentedeprrafopredeter"/>
    <w:uiPriority w:val="99"/>
    <w:semiHidden/>
    <w:unhideWhenUsed/>
    <w:rsid w:val="00BA21D2"/>
    <w:rPr>
      <w:color w:val="954F72" w:themeColor="followedHyperlink"/>
      <w:u w:val="single"/>
    </w:rPr>
  </w:style>
  <w:style w:type="table" w:styleId="Tablaconcuadrculaclara">
    <w:name w:val="Grid Table Light"/>
    <w:basedOn w:val="Tablanormal"/>
    <w:uiPriority w:val="40"/>
    <w:rsid w:val="00FB236A"/>
    <w:rPr>
      <w:rFonts w:asciiTheme="minorHAnsi" w:eastAsiaTheme="minorHAnsi" w:hAnsiTheme="minorHAnsi" w:cstheme="minorBidi"/>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3">
    <w:name w:val="Normal3"/>
    <w:rsid w:val="00986EE9"/>
    <w:rPr>
      <w:rFonts w:ascii="Times New Roman" w:eastAsia="Times New Roman" w:hAnsi="Times New Roman"/>
      <w:color w:val="00000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8" Type="http://schemas.openxmlformats.org/officeDocument/2006/relationships/hyperlink" Target="https://catedraunescodh.unam.mx/catedra/mujeres3/html/cedaw/Cedaw/3_Recom_grales/21.pdf" TargetMode="External"/><Relationship Id="rId13" Type="http://schemas.openxmlformats.org/officeDocument/2006/relationships/hyperlink" Target="https://www.congresochihuahua2.gob.mx/biblioteca/leyes/archivosLeyes/903.pdf" TargetMode="External"/><Relationship Id="rId3" Type="http://schemas.openxmlformats.org/officeDocument/2006/relationships/hyperlink" Target="https://www.oas.org/es/cidh/mandato/basicos/declaracion.asp" TargetMode="External"/><Relationship Id="rId7" Type="http://schemas.openxmlformats.org/officeDocument/2006/relationships/hyperlink" Target="https://www.acnur.org/fileadmin/Documentos/BDL/2008/6224.pdf" TargetMode="External"/><Relationship Id="rId12" Type="http://schemas.openxmlformats.org/officeDocument/2006/relationships/hyperlink" Target="https://sjf2.scjn.gob.mx/detalle/tesis/2006169" TargetMode="External"/><Relationship Id="rId2" Type="http://schemas.openxmlformats.org/officeDocument/2006/relationships/hyperlink" Target="https://www.ohchr.org/es/instruments-mechanisms/instruments/international-covenant-economic-social-and-cultural-rights" TargetMode="External"/><Relationship Id="rId1" Type="http://schemas.openxmlformats.org/officeDocument/2006/relationships/hyperlink" Target="https://www.un.org/es/about-us/universal-declaration-of-human-rights" TargetMode="External"/><Relationship Id="rId6" Type="http://schemas.openxmlformats.org/officeDocument/2006/relationships/hyperlink" Target="https://www.oas.org/juridico/spanish/tratados/a-65.html" TargetMode="External"/><Relationship Id="rId11" Type="http://schemas.openxmlformats.org/officeDocument/2006/relationships/hyperlink" Target="https://sjf2.scjn.gob.mx/detalle/tesis/2006700" TargetMode="External"/><Relationship Id="rId5" Type="http://schemas.openxmlformats.org/officeDocument/2006/relationships/hyperlink" Target="https://www.oas.org/es/sla/ddi/docs/tratados_multilaterales_interamericanos_A-69_discriminacion_intolerancia.pdf" TargetMode="External"/><Relationship Id="rId15" Type="http://schemas.openxmlformats.org/officeDocument/2006/relationships/hyperlink" Target="https://www.oas.org/juridico/spanish/tratados/a-61.html?fbclid=IwAR3R-fMA5k8t3qwmK7zu6tLfHrNkCmWKVmWyo9CNa53fZibR93G8kS4vfrE" TargetMode="External"/><Relationship Id="rId10" Type="http://schemas.openxmlformats.org/officeDocument/2006/relationships/hyperlink" Target="https://www.diputados.gob.mx/LeyesBiblio/pdf/CPEUM.pdf" TargetMode="External"/><Relationship Id="rId4" Type="http://schemas.openxmlformats.org/officeDocument/2006/relationships/hyperlink" Target="https://www.oas.org/es/sla/ddi/tratados_multilaterales_interamericanos_A-70_derechos_humanos_personas_mayores.asp" TargetMode="External"/><Relationship Id="rId9" Type="http://schemas.openxmlformats.org/officeDocument/2006/relationships/hyperlink" Target="https://www.un.org/womenwatch/daw/beijing/pdf/Beijing%20full%20report%20S.pdf" TargetMode="External"/><Relationship Id="rId14" Type="http://schemas.openxmlformats.org/officeDocument/2006/relationships/hyperlink" Target="https://www.congresochihuahua2.gob.mx/biblioteca/leyes/archivosLeyes/15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D32B-9725-445E-8F16-71A9ED44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2916</Words>
  <Characters>16040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18919</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2024-08-13T19:13:00Z</cp:lastPrinted>
  <dcterms:created xsi:type="dcterms:W3CDTF">2024-08-14T16:35:00Z</dcterms:created>
  <dcterms:modified xsi:type="dcterms:W3CDTF">2024-08-14T16:35:00Z</dcterms:modified>
</cp:coreProperties>
</file>