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67D2F3BF" w14:textId="51E61ECB" w:rsidR="00EA2B2E" w:rsidRDefault="005D14CE" w:rsidP="005D14CE">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D315AC">
        <w:rPr>
          <w:rFonts w:ascii="Century Gothic" w:eastAsia="Arial" w:hAnsi="Century Gothic" w:cs="Arial"/>
          <w:bCs/>
          <w:color w:val="auto"/>
        </w:rPr>
        <w:t>05 de septiembre de 2023</w:t>
      </w:r>
      <w:r w:rsidR="00141840">
        <w:rPr>
          <w:rFonts w:ascii="Century Gothic" w:eastAsia="Arial" w:hAnsi="Century Gothic" w:cs="Arial"/>
          <w:bCs/>
          <w:color w:val="auto"/>
        </w:rPr>
        <w:t xml:space="preserve">, las y los diputados </w:t>
      </w:r>
      <w:r w:rsidR="00D315AC" w:rsidRPr="00D315AC">
        <w:rPr>
          <w:rFonts w:ascii="Century Gothic" w:eastAsia="Arial" w:hAnsi="Century Gothic" w:cs="Arial"/>
          <w:bCs/>
          <w:color w:val="auto"/>
        </w:rPr>
        <w:t>Andrea Daniela Flores Chacón, Carlos Alfredo Olson San Vicente</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Diana Ivette Pereda Gutiérrez</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Gabriel Ángel García Cantú</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Georgina Alejandra Bujanda Ríos</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Ismael Pérez Pavía</w:t>
      </w:r>
      <w:r w:rsidR="00D315AC">
        <w:rPr>
          <w:rFonts w:ascii="Century Gothic" w:eastAsia="Arial" w:hAnsi="Century Gothic" w:cs="Arial"/>
          <w:bCs/>
          <w:color w:val="auto"/>
        </w:rPr>
        <w:t>,</w:t>
      </w:r>
      <w:r w:rsidR="00D315AC" w:rsidRPr="00D315AC">
        <w:rPr>
          <w:rFonts w:ascii="Century Gothic" w:eastAsia="Arial" w:hAnsi="Century Gothic" w:cs="Arial"/>
          <w:bCs/>
          <w:color w:val="auto"/>
        </w:rPr>
        <w:t xml:space="preserve"> Ismael Mario Rodríguez Saldaña</w:t>
      </w:r>
      <w:r w:rsidR="00D315AC">
        <w:rPr>
          <w:rFonts w:ascii="Century Gothic" w:eastAsia="Arial" w:hAnsi="Century Gothic" w:cs="Arial"/>
          <w:bCs/>
          <w:color w:val="auto"/>
        </w:rPr>
        <w:t>,</w:t>
      </w:r>
      <w:r w:rsidR="00D315AC" w:rsidRPr="00D315AC">
        <w:rPr>
          <w:rFonts w:ascii="Century Gothic" w:eastAsia="Arial" w:hAnsi="Century Gothic" w:cs="Arial"/>
          <w:bCs/>
          <w:color w:val="auto"/>
        </w:rPr>
        <w:t xml:space="preserve"> José Alfredo Chávez Madrid</w:t>
      </w:r>
      <w:r w:rsidR="00D315AC">
        <w:rPr>
          <w:rFonts w:ascii="Century Gothic" w:eastAsia="Arial" w:hAnsi="Century Gothic" w:cs="Arial"/>
          <w:bCs/>
          <w:color w:val="auto"/>
        </w:rPr>
        <w:t>,</w:t>
      </w:r>
      <w:r w:rsidR="00D315AC" w:rsidRPr="00D315AC">
        <w:rPr>
          <w:rFonts w:ascii="Century Gothic" w:eastAsia="Arial" w:hAnsi="Century Gothic" w:cs="Arial"/>
          <w:bCs/>
          <w:color w:val="auto"/>
        </w:rPr>
        <w:t xml:space="preserve"> Luis Alberto Aguilar Lozoya</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Marisela Terrazas Muñoz</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Roberto Marcelino Carreón Huitrón</w:t>
      </w:r>
      <w:r w:rsidR="00D315AC">
        <w:rPr>
          <w:rFonts w:ascii="Century Gothic" w:eastAsia="Arial" w:hAnsi="Century Gothic" w:cs="Arial"/>
          <w:bCs/>
          <w:color w:val="auto"/>
        </w:rPr>
        <w:t xml:space="preserve">, </w:t>
      </w:r>
      <w:proofErr w:type="spellStart"/>
      <w:r w:rsidR="00D315AC" w:rsidRPr="00D315AC">
        <w:rPr>
          <w:rFonts w:ascii="Century Gothic" w:eastAsia="Arial" w:hAnsi="Century Gothic" w:cs="Arial"/>
          <w:bCs/>
          <w:color w:val="auto"/>
        </w:rPr>
        <w:t>Rocio</w:t>
      </w:r>
      <w:proofErr w:type="spellEnd"/>
      <w:r w:rsidR="00D315AC" w:rsidRPr="00D315AC">
        <w:rPr>
          <w:rFonts w:ascii="Century Gothic" w:eastAsia="Arial" w:hAnsi="Century Gothic" w:cs="Arial"/>
          <w:bCs/>
          <w:color w:val="auto"/>
        </w:rPr>
        <w:t xml:space="preserve"> Guadalupe Sarmiento Rufino</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Rosa Isela Martínez Díaz</w:t>
      </w:r>
      <w:r w:rsidR="00D315AC">
        <w:rPr>
          <w:rFonts w:ascii="Century Gothic" w:eastAsia="Arial" w:hAnsi="Century Gothic" w:cs="Arial"/>
          <w:bCs/>
          <w:color w:val="auto"/>
        </w:rPr>
        <w:t xml:space="preserve">, </w:t>
      </w:r>
      <w:r w:rsidR="00D315AC" w:rsidRPr="00D315AC">
        <w:rPr>
          <w:rFonts w:ascii="Century Gothic" w:eastAsia="Arial" w:hAnsi="Century Gothic" w:cs="Arial"/>
          <w:bCs/>
          <w:color w:val="auto"/>
        </w:rPr>
        <w:t>Saúl Mireles Corral</w:t>
      </w:r>
      <w:r w:rsidR="00D315AC">
        <w:rPr>
          <w:rFonts w:ascii="Century Gothic" w:eastAsia="Arial" w:hAnsi="Century Gothic" w:cs="Arial"/>
          <w:bCs/>
          <w:color w:val="auto"/>
        </w:rPr>
        <w:t xml:space="preserve">, y </w:t>
      </w:r>
      <w:r w:rsidR="00D315AC" w:rsidRPr="00D315AC">
        <w:rPr>
          <w:rFonts w:ascii="Century Gothic" w:eastAsia="Arial" w:hAnsi="Century Gothic" w:cs="Arial"/>
          <w:bCs/>
          <w:color w:val="auto"/>
        </w:rPr>
        <w:t xml:space="preserve">Yesenia Guadalupe Reyes </w:t>
      </w:r>
      <w:proofErr w:type="spellStart"/>
      <w:r w:rsidR="00D315AC" w:rsidRPr="00D315AC">
        <w:rPr>
          <w:rFonts w:ascii="Century Gothic" w:eastAsia="Arial" w:hAnsi="Century Gothic" w:cs="Arial"/>
          <w:bCs/>
          <w:color w:val="auto"/>
        </w:rPr>
        <w:t>Calzadías</w:t>
      </w:r>
      <w:proofErr w:type="spellEnd"/>
      <w:r w:rsidR="00141840">
        <w:rPr>
          <w:rFonts w:ascii="Century Gothic" w:eastAsia="Arial" w:hAnsi="Century Gothic" w:cs="Arial"/>
          <w:bCs/>
          <w:color w:val="auto"/>
        </w:rPr>
        <w:t xml:space="preserve">, </w:t>
      </w:r>
      <w:r w:rsidR="00141840">
        <w:rPr>
          <w:rFonts w:ascii="Century Gothic" w:hAnsi="Century Gothic" w:cs="Arial"/>
        </w:rPr>
        <w:t>integrantes del Grupo Parlamentario de</w:t>
      </w:r>
      <w:r w:rsidR="00D315AC">
        <w:rPr>
          <w:rFonts w:ascii="Century Gothic" w:hAnsi="Century Gothic" w:cs="Arial"/>
        </w:rPr>
        <w:t>l Partido Acción Nacional</w:t>
      </w:r>
      <w:r w:rsidR="00141840">
        <w:rPr>
          <w:rFonts w:ascii="Century Gothic" w:hAnsi="Century Gothic" w:cs="Arial"/>
        </w:rPr>
        <w:t xml:space="preserve">, presentaron iniciativa </w:t>
      </w:r>
      <w:r w:rsidR="00141840" w:rsidRPr="00A633F3">
        <w:rPr>
          <w:rFonts w:ascii="Century Gothic" w:hAnsi="Century Gothic" w:cs="Arial"/>
        </w:rPr>
        <w:t>con carácter de decreto</w:t>
      </w:r>
      <w:r w:rsidR="00141840">
        <w:rPr>
          <w:rFonts w:ascii="Century Gothic" w:hAnsi="Century Gothic" w:cs="Arial"/>
        </w:rPr>
        <w:t xml:space="preserve"> </w:t>
      </w:r>
      <w:r w:rsidR="00141840" w:rsidRPr="00141840">
        <w:rPr>
          <w:rFonts w:ascii="Century Gothic" w:hAnsi="Century Gothic" w:cs="Arial"/>
        </w:rPr>
        <w:t xml:space="preserve">a efecto de </w:t>
      </w:r>
      <w:r w:rsidR="00D315AC" w:rsidRPr="00D315AC">
        <w:rPr>
          <w:rFonts w:ascii="Century Gothic" w:hAnsi="Century Gothic" w:cs="Arial"/>
        </w:rPr>
        <w:t>reformar el artículo 180 Bis del Código Penal del Estado de Chihuahua, con el propósito de incrementar la pena por los delitos en contra de la intimidad sexual.</w:t>
      </w:r>
    </w:p>
    <w:p w14:paraId="043835DB" w14:textId="77777777" w:rsidR="00D315AC" w:rsidRPr="0074653E" w:rsidRDefault="00D315AC" w:rsidP="005D14CE">
      <w:pPr>
        <w:spacing w:after="160" w:line="360" w:lineRule="auto"/>
        <w:ind w:right="50"/>
        <w:jc w:val="both"/>
        <w:rPr>
          <w:rFonts w:ascii="Century Gothic" w:hAnsi="Century Gothic" w:cs="Arial"/>
          <w:bCs/>
          <w:color w:val="auto"/>
        </w:rPr>
      </w:pPr>
    </w:p>
    <w:p w14:paraId="4C37B180" w14:textId="14B52EAC" w:rsidR="006C4E65" w:rsidRPr="007E7F92" w:rsidRDefault="005D14CE" w:rsidP="00945419">
      <w:pPr>
        <w:pStyle w:val="Normal1"/>
        <w:spacing w:after="200" w:line="360" w:lineRule="auto"/>
        <w:jc w:val="both"/>
        <w:rPr>
          <w:rFonts w:ascii="Century Gothic" w:eastAsia="Arial" w:hAnsi="Century Gothic" w:cs="Arial"/>
        </w:rPr>
      </w:pPr>
      <w:r w:rsidRPr="004174F1">
        <w:rPr>
          <w:rFonts w:ascii="Century Gothic" w:eastAsia="Arial" w:hAnsi="Century Gothic" w:cs="Arial"/>
          <w:b/>
          <w:color w:val="auto"/>
          <w:lang w:val="es-MX"/>
        </w:rPr>
        <w:lastRenderedPageBreak/>
        <w:t>II.-</w:t>
      </w:r>
      <w:r w:rsidR="004A6DAD">
        <w:rPr>
          <w:rFonts w:ascii="Century Gothic" w:eastAsia="Arial" w:hAnsi="Century Gothic" w:cs="Arial"/>
          <w:color w:val="auto"/>
          <w:lang w:val="es-MX"/>
        </w:rPr>
        <w:t xml:space="preserve"> </w:t>
      </w:r>
      <w:r w:rsidR="006C4E65">
        <w:rPr>
          <w:rFonts w:ascii="Century Gothic" w:hAnsi="Century Gothic" w:cs="Arial"/>
        </w:rPr>
        <w:t>La Presidencia del H. Congreso del Estado, en</w:t>
      </w:r>
      <w:r w:rsidR="00D315AC">
        <w:rPr>
          <w:rFonts w:ascii="Century Gothic" w:hAnsi="Century Gothic" w:cs="Arial"/>
        </w:rPr>
        <w:t xml:space="preserve"> fecha 07 de septiembre de 2023,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a la Comisión de Justicia, la iniciativa de mérito a efecto de proceder al estudio, análisis y elaboración del dictamen correspondiente.</w:t>
      </w:r>
    </w:p>
    <w:p w14:paraId="72E4A585" w14:textId="7C5DC7BB" w:rsidR="005D14CE" w:rsidRDefault="005D14CE" w:rsidP="005D14CE">
      <w:pPr>
        <w:pStyle w:val="Normal1"/>
        <w:spacing w:after="200" w:line="360" w:lineRule="auto"/>
        <w:ind w:right="50"/>
        <w:jc w:val="both"/>
        <w:rPr>
          <w:rFonts w:ascii="Century Gothic" w:hAnsi="Century Gothic" w:cs="Arial"/>
          <w:color w:val="auto"/>
          <w:lang w:val="es-MX"/>
        </w:rPr>
      </w:pPr>
    </w:p>
    <w:p w14:paraId="1C7DD75A" w14:textId="569918D6" w:rsidR="00A024F1" w:rsidRDefault="00EC0D31" w:rsidP="00A024F1">
      <w:pPr>
        <w:shd w:val="clear" w:color="auto" w:fill="FFFFFF"/>
        <w:tabs>
          <w:tab w:val="left" w:pos="9763"/>
        </w:tabs>
        <w:spacing w:line="360" w:lineRule="auto"/>
        <w:ind w:right="332"/>
        <w:jc w:val="both"/>
        <w:rPr>
          <w:rFonts w:ascii="Century Gothic" w:hAnsi="Century Gothic" w:cs="Arial"/>
          <w:bCs/>
        </w:rPr>
      </w:pPr>
      <w:bookmarkStart w:id="0" w:name="_Hlk159247569"/>
      <w:r>
        <w:rPr>
          <w:rFonts w:ascii="Century Gothic" w:hAnsi="Century Gothic" w:cs="Arial"/>
          <w:b/>
          <w:bCs/>
          <w:color w:val="auto"/>
        </w:rPr>
        <w:t>I</w:t>
      </w:r>
      <w:r w:rsidR="00D315AC">
        <w:rPr>
          <w:rFonts w:ascii="Century Gothic" w:hAnsi="Century Gothic" w:cs="Arial"/>
          <w:b/>
          <w:bCs/>
          <w:color w:val="auto"/>
        </w:rPr>
        <w:t>II</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sidR="00D315AC">
        <w:rPr>
          <w:rFonts w:ascii="Century Gothic" w:hAnsi="Century Gothic" w:cs="Arial"/>
          <w:bCs/>
        </w:rPr>
        <w:t>2179</w:t>
      </w:r>
      <w:r w:rsidR="00761A2E">
        <w:rPr>
          <w:rFonts w:ascii="Century Gothic" w:hAnsi="Century Gothic" w:cs="Arial"/>
          <w:bCs/>
        </w:rPr>
        <w:t xml:space="preserve">, </w:t>
      </w:r>
      <w:r w:rsidR="00A024F1">
        <w:rPr>
          <w:rFonts w:ascii="Century Gothic" w:hAnsi="Century Gothic" w:cs="Arial"/>
          <w:bCs/>
        </w:rPr>
        <w:t>se sustenta en los siguientes argumentos:</w:t>
      </w:r>
    </w:p>
    <w:bookmarkEnd w:id="0"/>
    <w:p w14:paraId="57F8F21B" w14:textId="046CE1A2"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7347272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La violencia digital, se desentraña como aquel conjunto de acciones en las que se exponga, difundan o reproduzcan imágenes, audios o videos, que tengan </w:t>
      </w:r>
      <w:proofErr w:type="spellStart"/>
      <w:r w:rsidRPr="00D315AC">
        <w:rPr>
          <w:rFonts w:ascii="Century Gothic" w:hAnsi="Century Gothic" w:cs="Arial"/>
          <w:bCs/>
          <w:i/>
          <w:iCs/>
          <w:sz w:val="22"/>
          <w:szCs w:val="22"/>
        </w:rPr>
        <w:t>contendio</w:t>
      </w:r>
      <w:proofErr w:type="spellEnd"/>
      <w:r w:rsidRPr="00D315AC">
        <w:rPr>
          <w:rFonts w:ascii="Century Gothic" w:hAnsi="Century Gothic" w:cs="Arial"/>
          <w:bCs/>
          <w:i/>
          <w:iCs/>
          <w:sz w:val="22"/>
          <w:szCs w:val="22"/>
        </w:rPr>
        <w:t xml:space="preserve"> de </w:t>
      </w:r>
      <w:proofErr w:type="spellStart"/>
      <w:r w:rsidRPr="00D315AC">
        <w:rPr>
          <w:rFonts w:ascii="Century Gothic" w:hAnsi="Century Gothic" w:cs="Arial"/>
          <w:bCs/>
          <w:i/>
          <w:iCs/>
          <w:sz w:val="22"/>
          <w:szCs w:val="22"/>
        </w:rPr>
        <w:t>indole</w:t>
      </w:r>
      <w:proofErr w:type="spellEnd"/>
      <w:r w:rsidRPr="00D315AC">
        <w:rPr>
          <w:rFonts w:ascii="Century Gothic" w:hAnsi="Century Gothic" w:cs="Arial"/>
          <w:bCs/>
          <w:i/>
          <w:iCs/>
          <w:sz w:val="22"/>
          <w:szCs w:val="22"/>
        </w:rPr>
        <w:t xml:space="preserve"> sexual </w:t>
      </w:r>
      <w:proofErr w:type="spellStart"/>
      <w:r w:rsidRPr="00D315AC">
        <w:rPr>
          <w:rFonts w:ascii="Century Gothic" w:hAnsi="Century Gothic" w:cs="Arial"/>
          <w:bCs/>
          <w:i/>
          <w:iCs/>
          <w:sz w:val="22"/>
          <w:szCs w:val="22"/>
        </w:rPr>
        <w:t>intimo</w:t>
      </w:r>
      <w:proofErr w:type="spellEnd"/>
      <w:r w:rsidRPr="00D315AC">
        <w:rPr>
          <w:rFonts w:ascii="Century Gothic" w:hAnsi="Century Gothic" w:cs="Arial"/>
          <w:bCs/>
          <w:i/>
          <w:iCs/>
          <w:sz w:val="22"/>
          <w:szCs w:val="22"/>
        </w:rPr>
        <w:t xml:space="preserve"> de una persona sin su consentimiento. De lo anterior se colige que estas acciones o actividades realizadas, atentan claramente contra la integridad, dignidad y la vida privada de las mujeres, generando un daño psicológico, económico o sexual, mismo que pudiese ser irreparable, esto generando de igual manera un daño en su entorno familiar, laboral o cualquiera que fuere su entorno de desarrollo. </w:t>
      </w:r>
    </w:p>
    <w:p w14:paraId="0BB6D326"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7FCF1E8F"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En México el caso de la violencia digital no es ajeno, según datos y </w:t>
      </w:r>
      <w:proofErr w:type="spellStart"/>
      <w:r w:rsidRPr="00D315AC">
        <w:rPr>
          <w:rFonts w:ascii="Century Gothic" w:hAnsi="Century Gothic" w:cs="Arial"/>
          <w:bCs/>
          <w:i/>
          <w:iCs/>
          <w:sz w:val="22"/>
          <w:szCs w:val="22"/>
        </w:rPr>
        <w:t>estadisticas</w:t>
      </w:r>
      <w:proofErr w:type="spellEnd"/>
      <w:r w:rsidRPr="00D315AC">
        <w:rPr>
          <w:rFonts w:ascii="Century Gothic" w:hAnsi="Century Gothic" w:cs="Arial"/>
          <w:bCs/>
          <w:i/>
          <w:iCs/>
          <w:sz w:val="22"/>
          <w:szCs w:val="22"/>
        </w:rPr>
        <w:t xml:space="preserve"> del INEGI, 9.7 millones de mujeres de 12 años y más, fueron víctimas de ciberacoso, a diferencia de 8 millones de hombres.  Esta práctica se ha intensificado después de la pandemia, puesto que ha llevado a nuestra sociedad a una nueva forma de vida más digital, misma situación genera un constante estado de vulnerabilidad para las mujeres que pudiesen posibles </w:t>
      </w:r>
      <w:proofErr w:type="spellStart"/>
      <w:r w:rsidRPr="00D315AC">
        <w:rPr>
          <w:rFonts w:ascii="Century Gothic" w:hAnsi="Century Gothic" w:cs="Arial"/>
          <w:bCs/>
          <w:i/>
          <w:iCs/>
          <w:sz w:val="22"/>
          <w:szCs w:val="22"/>
        </w:rPr>
        <w:t>victimas</w:t>
      </w:r>
      <w:proofErr w:type="spellEnd"/>
      <w:r w:rsidRPr="00D315AC">
        <w:rPr>
          <w:rFonts w:ascii="Century Gothic" w:hAnsi="Century Gothic" w:cs="Arial"/>
          <w:bCs/>
          <w:i/>
          <w:iCs/>
          <w:sz w:val="22"/>
          <w:szCs w:val="22"/>
        </w:rPr>
        <w:t xml:space="preserve"> del delito.</w:t>
      </w:r>
    </w:p>
    <w:p w14:paraId="47D45846"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384B46E1"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La denominada “Ley Olimpia” surge como consecuencia de la difusión de un video de contenido sexual, el cual fue grabado y publicado sin autorización de la mujer que aparece en el mismo, hecho ocurrido en el estado de Puebla; de lo anterior se impulsó la </w:t>
      </w:r>
      <w:proofErr w:type="spellStart"/>
      <w:r w:rsidRPr="00D315AC">
        <w:rPr>
          <w:rFonts w:ascii="Century Gothic" w:hAnsi="Century Gothic" w:cs="Arial"/>
          <w:bCs/>
          <w:i/>
          <w:iCs/>
          <w:sz w:val="22"/>
          <w:szCs w:val="22"/>
        </w:rPr>
        <w:t>inciativa</w:t>
      </w:r>
      <w:proofErr w:type="spellEnd"/>
      <w:r w:rsidRPr="00D315AC">
        <w:rPr>
          <w:rFonts w:ascii="Century Gothic" w:hAnsi="Century Gothic" w:cs="Arial"/>
          <w:bCs/>
          <w:i/>
          <w:iCs/>
          <w:sz w:val="22"/>
          <w:szCs w:val="22"/>
        </w:rPr>
        <w:t xml:space="preserve"> que tenía como objetivo reformar el Código Penal de la mencionada entidad, tipificando     estas conductas como una violación clara al derecho a la intimidad, por lo que se fue replicando en todas las entidades federativas e inclusive a nivel internacional.</w:t>
      </w:r>
    </w:p>
    <w:p w14:paraId="3AEAEA39"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6128674B"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Es importante señalar que el término ‘’Ley Olimpia’’ no hace una referencia en una ley como tal, </w:t>
      </w:r>
      <w:proofErr w:type="spellStart"/>
      <w:r w:rsidRPr="00D315AC">
        <w:rPr>
          <w:rFonts w:ascii="Century Gothic" w:hAnsi="Century Gothic" w:cs="Arial"/>
          <w:bCs/>
          <w:i/>
          <w:iCs/>
          <w:sz w:val="22"/>
          <w:szCs w:val="22"/>
        </w:rPr>
        <w:t>si no</w:t>
      </w:r>
      <w:proofErr w:type="spellEnd"/>
      <w:r w:rsidRPr="00D315AC">
        <w:rPr>
          <w:rFonts w:ascii="Century Gothic" w:hAnsi="Century Gothic" w:cs="Arial"/>
          <w:bCs/>
          <w:i/>
          <w:iCs/>
          <w:sz w:val="22"/>
          <w:szCs w:val="22"/>
        </w:rPr>
        <w:t xml:space="preserve"> que se refiere al conjunto de reformas, que tienen como objetivo reconocer a la violencia digital como un delito, que viola la intimidad sexual de las personas a través de los medios digitales. </w:t>
      </w:r>
    </w:p>
    <w:p w14:paraId="660F993C"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7F768FB3"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La importancia de esta serie de reformas a nuestra legislación ha venido a visualizar la violencia digital como un delito, y se reconoce en la Ley de Acceso de las Mujeres a una Vida Libre de Violencia, lo que implica que se genere una obligación por parte del Estado, en emplear sus recursos para combatir y prevenir este tipo de violencia.</w:t>
      </w:r>
    </w:p>
    <w:p w14:paraId="0273BE5E"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2D5AC4D6"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En Chihuahua esta situación se atendió el 27 de enero de 2021, dentro del Código Penal del Estado, en su numeral 180 Bis, mismo que en su primer párrafo menciona a la letra: </w:t>
      </w:r>
    </w:p>
    <w:p w14:paraId="0E3E116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A quien reciba u obtenga de una persona, </w:t>
      </w:r>
      <w:proofErr w:type="spellStart"/>
      <w:r w:rsidRPr="00D315AC">
        <w:rPr>
          <w:rFonts w:ascii="Century Gothic" w:hAnsi="Century Gothic" w:cs="Arial"/>
          <w:bCs/>
          <w:i/>
          <w:iCs/>
          <w:sz w:val="22"/>
          <w:szCs w:val="22"/>
        </w:rPr>
        <w:t>imágenes</w:t>
      </w:r>
      <w:proofErr w:type="spellEnd"/>
      <w:r w:rsidRPr="00D315AC">
        <w:rPr>
          <w:rFonts w:ascii="Century Gothic" w:hAnsi="Century Gothic" w:cs="Arial"/>
          <w:bCs/>
          <w:i/>
          <w:iCs/>
          <w:sz w:val="22"/>
          <w:szCs w:val="22"/>
        </w:rPr>
        <w:t xml:space="preserve">, textos o grabaciones de voz o audiovisuales de contenido </w:t>
      </w:r>
      <w:proofErr w:type="spellStart"/>
      <w:r w:rsidRPr="00D315AC">
        <w:rPr>
          <w:rFonts w:ascii="Century Gothic" w:hAnsi="Century Gothic" w:cs="Arial"/>
          <w:bCs/>
          <w:i/>
          <w:iCs/>
          <w:sz w:val="22"/>
          <w:szCs w:val="22"/>
        </w:rPr>
        <w:t>erótico</w:t>
      </w:r>
      <w:proofErr w:type="spellEnd"/>
      <w:r w:rsidRPr="00D315AC">
        <w:rPr>
          <w:rFonts w:ascii="Century Gothic" w:hAnsi="Century Gothic" w:cs="Arial"/>
          <w:bCs/>
          <w:i/>
          <w:iCs/>
          <w:sz w:val="22"/>
          <w:szCs w:val="22"/>
        </w:rPr>
        <w:t xml:space="preserve"> o sexual y las revele o difunda sin su consentimiento y en perjuicio de su </w:t>
      </w:r>
      <w:r w:rsidRPr="00D315AC">
        <w:rPr>
          <w:rFonts w:ascii="Century Gothic" w:hAnsi="Century Gothic" w:cs="Arial"/>
          <w:bCs/>
          <w:i/>
          <w:iCs/>
          <w:sz w:val="22"/>
          <w:szCs w:val="22"/>
        </w:rPr>
        <w:lastRenderedPageBreak/>
        <w:t xml:space="preserve">intimidad, </w:t>
      </w:r>
      <w:r w:rsidRPr="00D315AC">
        <w:rPr>
          <w:rFonts w:ascii="Century Gothic" w:hAnsi="Century Gothic" w:cs="Arial"/>
          <w:bCs/>
          <w:i/>
          <w:iCs/>
          <w:sz w:val="22"/>
          <w:szCs w:val="22"/>
          <w:u w:val="single"/>
        </w:rPr>
        <w:t xml:space="preserve">se le </w:t>
      </w:r>
      <w:proofErr w:type="spellStart"/>
      <w:r w:rsidRPr="00D315AC">
        <w:rPr>
          <w:rFonts w:ascii="Century Gothic" w:hAnsi="Century Gothic" w:cs="Arial"/>
          <w:bCs/>
          <w:i/>
          <w:iCs/>
          <w:sz w:val="22"/>
          <w:szCs w:val="22"/>
          <w:u w:val="single"/>
        </w:rPr>
        <w:t>impondra</w:t>
      </w:r>
      <w:proofErr w:type="spellEnd"/>
      <w:r w:rsidRPr="00D315AC">
        <w:rPr>
          <w:rFonts w:ascii="Century Gothic" w:hAnsi="Century Gothic" w:cs="Arial"/>
          <w:bCs/>
          <w:i/>
          <w:iCs/>
          <w:sz w:val="22"/>
          <w:szCs w:val="22"/>
          <w:u w:val="single"/>
        </w:rPr>
        <w:t xml:space="preserve">́ de seis meses a cuatro </w:t>
      </w:r>
      <w:proofErr w:type="spellStart"/>
      <w:r w:rsidRPr="00D315AC">
        <w:rPr>
          <w:rFonts w:ascii="Century Gothic" w:hAnsi="Century Gothic" w:cs="Arial"/>
          <w:bCs/>
          <w:i/>
          <w:iCs/>
          <w:sz w:val="22"/>
          <w:szCs w:val="22"/>
          <w:u w:val="single"/>
        </w:rPr>
        <w:t>años</w:t>
      </w:r>
      <w:proofErr w:type="spellEnd"/>
      <w:r w:rsidRPr="00D315AC">
        <w:rPr>
          <w:rFonts w:ascii="Century Gothic" w:hAnsi="Century Gothic" w:cs="Arial"/>
          <w:bCs/>
          <w:i/>
          <w:iCs/>
          <w:sz w:val="22"/>
          <w:szCs w:val="22"/>
          <w:u w:val="single"/>
        </w:rPr>
        <w:t xml:space="preserve"> de </w:t>
      </w:r>
      <w:proofErr w:type="spellStart"/>
      <w:r w:rsidRPr="00D315AC">
        <w:rPr>
          <w:rFonts w:ascii="Century Gothic" w:hAnsi="Century Gothic" w:cs="Arial"/>
          <w:bCs/>
          <w:i/>
          <w:iCs/>
          <w:sz w:val="22"/>
          <w:szCs w:val="22"/>
          <w:u w:val="single"/>
        </w:rPr>
        <w:t>prisión</w:t>
      </w:r>
      <w:proofErr w:type="spellEnd"/>
      <w:r w:rsidRPr="00D315AC">
        <w:rPr>
          <w:rFonts w:ascii="Century Gothic" w:hAnsi="Century Gothic" w:cs="Arial"/>
          <w:bCs/>
          <w:i/>
          <w:iCs/>
          <w:sz w:val="22"/>
          <w:szCs w:val="22"/>
          <w:u w:val="single"/>
        </w:rPr>
        <w:t xml:space="preserve"> y de cien a doscientos </w:t>
      </w:r>
      <w:proofErr w:type="spellStart"/>
      <w:r w:rsidRPr="00D315AC">
        <w:rPr>
          <w:rFonts w:ascii="Century Gothic" w:hAnsi="Century Gothic" w:cs="Arial"/>
          <w:bCs/>
          <w:i/>
          <w:iCs/>
          <w:sz w:val="22"/>
          <w:szCs w:val="22"/>
          <w:u w:val="single"/>
        </w:rPr>
        <w:t>días</w:t>
      </w:r>
      <w:proofErr w:type="spellEnd"/>
      <w:r w:rsidRPr="00D315AC">
        <w:rPr>
          <w:rFonts w:ascii="Century Gothic" w:hAnsi="Century Gothic" w:cs="Arial"/>
          <w:bCs/>
          <w:i/>
          <w:iCs/>
          <w:sz w:val="22"/>
          <w:szCs w:val="22"/>
          <w:u w:val="single"/>
        </w:rPr>
        <w:t xml:space="preserve"> de multa</w:t>
      </w:r>
      <w:r w:rsidRPr="00D315AC">
        <w:rPr>
          <w:rFonts w:ascii="Century Gothic" w:hAnsi="Century Gothic" w:cs="Arial"/>
          <w:bCs/>
          <w:i/>
          <w:iCs/>
          <w:sz w:val="22"/>
          <w:szCs w:val="22"/>
        </w:rPr>
        <w:t>. (subrayado propio)</w:t>
      </w:r>
    </w:p>
    <w:p w14:paraId="7E2F383E"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748DA4D2"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En este tenor de ideas debemos señalar que la Ley Olimpia tiene como objetivo castigar el acoso digital y </w:t>
      </w:r>
      <w:proofErr w:type="spellStart"/>
      <w:r w:rsidRPr="00D315AC">
        <w:rPr>
          <w:rFonts w:ascii="Century Gothic" w:hAnsi="Century Gothic" w:cs="Arial"/>
          <w:bCs/>
          <w:i/>
          <w:iCs/>
          <w:sz w:val="22"/>
          <w:szCs w:val="22"/>
        </w:rPr>
        <w:t>tipicar</w:t>
      </w:r>
      <w:proofErr w:type="spellEnd"/>
      <w:r w:rsidRPr="00D315AC">
        <w:rPr>
          <w:rFonts w:ascii="Century Gothic" w:hAnsi="Century Gothic" w:cs="Arial"/>
          <w:bCs/>
          <w:i/>
          <w:iCs/>
          <w:sz w:val="22"/>
          <w:szCs w:val="22"/>
        </w:rPr>
        <w:t xml:space="preserve"> como delito contra la intimidad sexual grabar o difundir contenido sexual por medios digitales sin consentimiento. </w:t>
      </w:r>
    </w:p>
    <w:p w14:paraId="78F907B1"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04A917C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Por otra parte, debemos contemplar que para la persona que se observa como </w:t>
      </w:r>
      <w:proofErr w:type="spellStart"/>
      <w:r w:rsidRPr="00D315AC">
        <w:rPr>
          <w:rFonts w:ascii="Century Gothic" w:hAnsi="Century Gothic" w:cs="Arial"/>
          <w:bCs/>
          <w:i/>
          <w:iCs/>
          <w:sz w:val="22"/>
          <w:szCs w:val="22"/>
        </w:rPr>
        <w:t>vícitima</w:t>
      </w:r>
      <w:proofErr w:type="spellEnd"/>
      <w:r w:rsidRPr="00D315AC">
        <w:rPr>
          <w:rFonts w:ascii="Century Gothic" w:hAnsi="Century Gothic" w:cs="Arial"/>
          <w:bCs/>
          <w:i/>
          <w:iCs/>
          <w:sz w:val="22"/>
          <w:szCs w:val="22"/>
        </w:rPr>
        <w:t xml:space="preserve"> de este delito encontrará un daño irreversible, esto por el daño causado a su dignidad como persona. </w:t>
      </w:r>
    </w:p>
    <w:p w14:paraId="6602C8BF"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13DC26D9"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Por esto, a nivel federal se </w:t>
      </w:r>
      <w:proofErr w:type="spellStart"/>
      <w:r w:rsidRPr="00D315AC">
        <w:rPr>
          <w:rFonts w:ascii="Century Gothic" w:hAnsi="Century Gothic" w:cs="Arial"/>
          <w:bCs/>
          <w:i/>
          <w:iCs/>
          <w:sz w:val="22"/>
          <w:szCs w:val="22"/>
        </w:rPr>
        <w:t>genero</w:t>
      </w:r>
      <w:proofErr w:type="spellEnd"/>
      <w:r w:rsidRPr="00D315AC">
        <w:rPr>
          <w:rFonts w:ascii="Century Gothic" w:hAnsi="Century Gothic" w:cs="Arial"/>
          <w:bCs/>
          <w:i/>
          <w:iCs/>
          <w:sz w:val="22"/>
          <w:szCs w:val="22"/>
        </w:rPr>
        <w:t xml:space="preserve"> esta serie de reformas imponiendo una pena más elevada a quien fuese la persona que generase este agravio al difundir este contenido, esta porción normativa dentro del Código Penal Federal exige una pena de 3 a 6 años de prisión y una multa de 500 a mil unidades de medida y actualización. </w:t>
      </w:r>
    </w:p>
    <w:p w14:paraId="7FCB160A"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2D197B37"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Es en atención a que Chihuahua fue uno de los últimos estados en atender a esta problemática, y precisando de igual manera que es uno de los que considera una penalidad más baja dentro de los </w:t>
      </w:r>
      <w:proofErr w:type="spellStart"/>
      <w:r w:rsidRPr="00D315AC">
        <w:rPr>
          <w:rFonts w:ascii="Century Gothic" w:hAnsi="Century Gothic" w:cs="Arial"/>
          <w:bCs/>
          <w:i/>
          <w:iCs/>
          <w:sz w:val="22"/>
          <w:szCs w:val="22"/>
        </w:rPr>
        <w:t>demas</w:t>
      </w:r>
      <w:proofErr w:type="spellEnd"/>
      <w:r w:rsidRPr="00D315AC">
        <w:rPr>
          <w:rFonts w:ascii="Century Gothic" w:hAnsi="Century Gothic" w:cs="Arial"/>
          <w:bCs/>
          <w:i/>
          <w:iCs/>
          <w:sz w:val="22"/>
          <w:szCs w:val="22"/>
        </w:rPr>
        <w:t xml:space="preserve"> ordenamientos a nivel estatal, se considera necesaria la modificación a la misma </w:t>
      </w:r>
    </w:p>
    <w:p w14:paraId="4598B0F1"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0DC8DDBA"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De este modo, lo que pretende esta iniciativa es armonizar el </w:t>
      </w:r>
      <w:proofErr w:type="spellStart"/>
      <w:r w:rsidRPr="00D315AC">
        <w:rPr>
          <w:rFonts w:ascii="Century Gothic" w:hAnsi="Century Gothic" w:cs="Arial"/>
          <w:bCs/>
          <w:i/>
          <w:iCs/>
          <w:sz w:val="22"/>
          <w:szCs w:val="22"/>
        </w:rPr>
        <w:t>articulo</w:t>
      </w:r>
      <w:proofErr w:type="spellEnd"/>
      <w:r w:rsidRPr="00D315AC">
        <w:rPr>
          <w:rFonts w:ascii="Century Gothic" w:hAnsi="Century Gothic" w:cs="Arial"/>
          <w:bCs/>
          <w:i/>
          <w:iCs/>
          <w:sz w:val="22"/>
          <w:szCs w:val="22"/>
        </w:rPr>
        <w:t xml:space="preserve"> 180 BIS de nuestro marco jurídico con el articulo 199 </w:t>
      </w:r>
      <w:proofErr w:type="spellStart"/>
      <w:r w:rsidRPr="00D315AC">
        <w:rPr>
          <w:rFonts w:ascii="Century Gothic" w:hAnsi="Century Gothic" w:cs="Arial"/>
          <w:bCs/>
          <w:i/>
          <w:iCs/>
          <w:sz w:val="22"/>
          <w:szCs w:val="22"/>
        </w:rPr>
        <w:t>Octies</w:t>
      </w:r>
      <w:proofErr w:type="spellEnd"/>
      <w:r w:rsidRPr="00D315AC">
        <w:rPr>
          <w:rFonts w:ascii="Century Gothic" w:hAnsi="Century Gothic" w:cs="Arial"/>
          <w:bCs/>
          <w:i/>
          <w:iCs/>
          <w:sz w:val="22"/>
          <w:szCs w:val="22"/>
        </w:rPr>
        <w:t xml:space="preserve"> del Código Penal Federal, esto en relación a la pena que se encuentra en el tercer </w:t>
      </w:r>
      <w:proofErr w:type="spellStart"/>
      <w:r w:rsidRPr="00D315AC">
        <w:rPr>
          <w:rFonts w:ascii="Century Gothic" w:hAnsi="Century Gothic" w:cs="Arial"/>
          <w:bCs/>
          <w:i/>
          <w:iCs/>
          <w:sz w:val="22"/>
          <w:szCs w:val="22"/>
        </w:rPr>
        <w:t>parrafo</w:t>
      </w:r>
      <w:proofErr w:type="spellEnd"/>
      <w:r w:rsidRPr="00D315AC">
        <w:rPr>
          <w:rFonts w:ascii="Century Gothic" w:hAnsi="Century Gothic" w:cs="Arial"/>
          <w:bCs/>
          <w:i/>
          <w:iCs/>
          <w:sz w:val="22"/>
          <w:szCs w:val="22"/>
        </w:rPr>
        <w:t xml:space="preserve"> de esta </w:t>
      </w:r>
      <w:proofErr w:type="spellStart"/>
      <w:r w:rsidRPr="00D315AC">
        <w:rPr>
          <w:rFonts w:ascii="Century Gothic" w:hAnsi="Century Gothic" w:cs="Arial"/>
          <w:bCs/>
          <w:i/>
          <w:iCs/>
          <w:sz w:val="22"/>
          <w:szCs w:val="22"/>
        </w:rPr>
        <w:t>proción</w:t>
      </w:r>
      <w:proofErr w:type="spellEnd"/>
      <w:r w:rsidRPr="00D315AC">
        <w:rPr>
          <w:rFonts w:ascii="Century Gothic" w:hAnsi="Century Gothic" w:cs="Arial"/>
          <w:bCs/>
          <w:i/>
          <w:iCs/>
          <w:sz w:val="22"/>
          <w:szCs w:val="22"/>
        </w:rPr>
        <w:t xml:space="preserve"> normativa.</w:t>
      </w:r>
    </w:p>
    <w:p w14:paraId="6DEEE9AE"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0187B27F"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tbl>
      <w:tblPr>
        <w:tblStyle w:val="Tablaconcuadrcula"/>
        <w:tblW w:w="7654" w:type="dxa"/>
        <w:tblInd w:w="421" w:type="dxa"/>
        <w:tblLook w:val="04A0" w:firstRow="1" w:lastRow="0" w:firstColumn="1" w:lastColumn="0" w:noHBand="0" w:noVBand="1"/>
      </w:tblPr>
      <w:tblGrid>
        <w:gridCol w:w="3969"/>
        <w:gridCol w:w="3685"/>
      </w:tblGrid>
      <w:tr w:rsidR="00D315AC" w:rsidRPr="00D315AC" w14:paraId="58B7F11D" w14:textId="77777777" w:rsidTr="00D315AC">
        <w:trPr>
          <w:trHeight w:val="568"/>
        </w:trPr>
        <w:tc>
          <w:tcPr>
            <w:tcW w:w="3969" w:type="dxa"/>
          </w:tcPr>
          <w:p w14:paraId="4DD77665"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
                <w:bCs/>
                <w:i/>
                <w:iCs/>
                <w:sz w:val="22"/>
                <w:szCs w:val="22"/>
              </w:rPr>
            </w:pPr>
            <w:r w:rsidRPr="00D315AC">
              <w:rPr>
                <w:rFonts w:ascii="Century Gothic" w:hAnsi="Century Gothic" w:cs="Arial"/>
                <w:b/>
                <w:bCs/>
                <w:i/>
                <w:iCs/>
                <w:sz w:val="22"/>
                <w:szCs w:val="22"/>
              </w:rPr>
              <w:t>TEXTO VIGENTE</w:t>
            </w:r>
          </w:p>
        </w:tc>
        <w:tc>
          <w:tcPr>
            <w:tcW w:w="3685" w:type="dxa"/>
          </w:tcPr>
          <w:p w14:paraId="5DE5ECB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
                <w:bCs/>
                <w:i/>
                <w:iCs/>
                <w:sz w:val="22"/>
                <w:szCs w:val="22"/>
              </w:rPr>
            </w:pPr>
            <w:r w:rsidRPr="00D315AC">
              <w:rPr>
                <w:rFonts w:ascii="Century Gothic" w:hAnsi="Century Gothic" w:cs="Arial"/>
                <w:b/>
                <w:bCs/>
                <w:i/>
                <w:iCs/>
                <w:sz w:val="22"/>
                <w:szCs w:val="22"/>
              </w:rPr>
              <w:t>PROPUESTA</w:t>
            </w:r>
          </w:p>
        </w:tc>
      </w:tr>
      <w:tr w:rsidR="00D315AC" w:rsidRPr="00D315AC" w14:paraId="2B33B5D9" w14:textId="77777777" w:rsidTr="00D315AC">
        <w:trPr>
          <w:trHeight w:val="3112"/>
        </w:trPr>
        <w:tc>
          <w:tcPr>
            <w:tcW w:w="3969" w:type="dxa"/>
          </w:tcPr>
          <w:p w14:paraId="23A9D94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ARTICULO 180 BIS</w:t>
            </w:r>
          </w:p>
          <w:p w14:paraId="46022ACD"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5C30CD6B" w14:textId="77777777" w:rsidR="00D315AC" w:rsidRPr="00D315AC" w:rsidRDefault="00D315AC" w:rsidP="00D315AC">
            <w:pPr>
              <w:numPr>
                <w:ilvl w:val="0"/>
                <w:numId w:val="13"/>
              </w:num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A quien reciba u obtenga de una persona, </w:t>
            </w:r>
            <w:proofErr w:type="spellStart"/>
            <w:r w:rsidRPr="00D315AC">
              <w:rPr>
                <w:rFonts w:ascii="Century Gothic" w:hAnsi="Century Gothic" w:cs="Arial"/>
                <w:bCs/>
                <w:i/>
                <w:iCs/>
                <w:sz w:val="22"/>
                <w:szCs w:val="22"/>
              </w:rPr>
              <w:t>imágenes</w:t>
            </w:r>
            <w:proofErr w:type="spellEnd"/>
            <w:r w:rsidRPr="00D315AC">
              <w:rPr>
                <w:rFonts w:ascii="Century Gothic" w:hAnsi="Century Gothic" w:cs="Arial"/>
                <w:bCs/>
                <w:i/>
                <w:iCs/>
                <w:sz w:val="22"/>
                <w:szCs w:val="22"/>
              </w:rPr>
              <w:t xml:space="preserve">, textos o grabaciones de voz o audiovisuales de contenido </w:t>
            </w:r>
            <w:proofErr w:type="spellStart"/>
            <w:r w:rsidRPr="00D315AC">
              <w:rPr>
                <w:rFonts w:ascii="Century Gothic" w:hAnsi="Century Gothic" w:cs="Arial"/>
                <w:bCs/>
                <w:i/>
                <w:iCs/>
                <w:sz w:val="22"/>
                <w:szCs w:val="22"/>
              </w:rPr>
              <w:t>erótico</w:t>
            </w:r>
            <w:proofErr w:type="spellEnd"/>
            <w:r w:rsidRPr="00D315AC">
              <w:rPr>
                <w:rFonts w:ascii="Century Gothic" w:hAnsi="Century Gothic" w:cs="Arial"/>
                <w:bCs/>
                <w:i/>
                <w:iCs/>
                <w:sz w:val="22"/>
                <w:szCs w:val="22"/>
              </w:rPr>
              <w:t xml:space="preserve"> o sexual y las revele o difunda sin su consentimiento y en perjuicio de su intimidad, se le </w:t>
            </w:r>
            <w:proofErr w:type="spellStart"/>
            <w:r w:rsidRPr="00D315AC">
              <w:rPr>
                <w:rFonts w:ascii="Century Gothic" w:hAnsi="Century Gothic" w:cs="Arial"/>
                <w:bCs/>
                <w:i/>
                <w:iCs/>
                <w:sz w:val="22"/>
                <w:szCs w:val="22"/>
              </w:rPr>
              <w:t>impondra</w:t>
            </w:r>
            <w:proofErr w:type="spellEnd"/>
            <w:r w:rsidRPr="00D315AC">
              <w:rPr>
                <w:rFonts w:ascii="Century Gothic" w:hAnsi="Century Gothic" w:cs="Arial"/>
                <w:bCs/>
                <w:i/>
                <w:iCs/>
                <w:sz w:val="22"/>
                <w:szCs w:val="22"/>
              </w:rPr>
              <w:t xml:space="preserve">́ de seis meses a cuatro </w:t>
            </w:r>
            <w:proofErr w:type="spellStart"/>
            <w:r w:rsidRPr="00D315AC">
              <w:rPr>
                <w:rFonts w:ascii="Century Gothic" w:hAnsi="Century Gothic" w:cs="Arial"/>
                <w:bCs/>
                <w:i/>
                <w:iCs/>
                <w:sz w:val="22"/>
                <w:szCs w:val="22"/>
              </w:rPr>
              <w:t>años</w:t>
            </w:r>
            <w:proofErr w:type="spellEnd"/>
            <w:r w:rsidRPr="00D315AC">
              <w:rPr>
                <w:rFonts w:ascii="Century Gothic" w:hAnsi="Century Gothic" w:cs="Arial"/>
                <w:bCs/>
                <w:i/>
                <w:iCs/>
                <w:sz w:val="22"/>
                <w:szCs w:val="22"/>
              </w:rPr>
              <w:t xml:space="preserve"> de </w:t>
            </w:r>
            <w:proofErr w:type="spellStart"/>
            <w:r w:rsidRPr="00D315AC">
              <w:rPr>
                <w:rFonts w:ascii="Century Gothic" w:hAnsi="Century Gothic" w:cs="Arial"/>
                <w:bCs/>
                <w:i/>
                <w:iCs/>
                <w:sz w:val="22"/>
                <w:szCs w:val="22"/>
              </w:rPr>
              <w:t>prisión</w:t>
            </w:r>
            <w:proofErr w:type="spellEnd"/>
            <w:r w:rsidRPr="00D315AC">
              <w:rPr>
                <w:rFonts w:ascii="Century Gothic" w:hAnsi="Century Gothic" w:cs="Arial"/>
                <w:bCs/>
                <w:i/>
                <w:iCs/>
                <w:sz w:val="22"/>
                <w:szCs w:val="22"/>
              </w:rPr>
              <w:t xml:space="preserve"> y de cien a doscientos </w:t>
            </w:r>
            <w:proofErr w:type="spellStart"/>
            <w:r w:rsidRPr="00D315AC">
              <w:rPr>
                <w:rFonts w:ascii="Century Gothic" w:hAnsi="Century Gothic" w:cs="Arial"/>
                <w:bCs/>
                <w:i/>
                <w:iCs/>
                <w:sz w:val="22"/>
                <w:szCs w:val="22"/>
              </w:rPr>
              <w:t>días</w:t>
            </w:r>
            <w:proofErr w:type="spellEnd"/>
            <w:r w:rsidRPr="00D315AC">
              <w:rPr>
                <w:rFonts w:ascii="Century Gothic" w:hAnsi="Century Gothic" w:cs="Arial"/>
                <w:bCs/>
                <w:i/>
                <w:iCs/>
                <w:sz w:val="22"/>
                <w:szCs w:val="22"/>
              </w:rPr>
              <w:t xml:space="preserve"> de multa. </w:t>
            </w:r>
          </w:p>
          <w:p w14:paraId="57455EA2"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tc>
        <w:tc>
          <w:tcPr>
            <w:tcW w:w="3685" w:type="dxa"/>
          </w:tcPr>
          <w:p w14:paraId="1B4C41BF"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ARTICULO 180 BIS </w:t>
            </w:r>
          </w:p>
          <w:p w14:paraId="59D06E10" w14:textId="77777777" w:rsidR="00D315AC" w:rsidRPr="00D315AC" w:rsidRDefault="00D315AC" w:rsidP="00D315AC">
            <w:pPr>
              <w:shd w:val="clear" w:color="auto" w:fill="FFFFFF"/>
              <w:tabs>
                <w:tab w:val="left" w:pos="9763"/>
              </w:tabs>
              <w:spacing w:line="360" w:lineRule="auto"/>
              <w:ind w:left="567" w:right="900"/>
              <w:jc w:val="both"/>
              <w:rPr>
                <w:rFonts w:ascii="Century Gothic" w:hAnsi="Century Gothic" w:cs="Arial"/>
                <w:bCs/>
                <w:i/>
                <w:iCs/>
                <w:sz w:val="22"/>
                <w:szCs w:val="22"/>
              </w:rPr>
            </w:pPr>
          </w:p>
          <w:p w14:paraId="2C1B37AD" w14:textId="77777777" w:rsidR="00D315AC" w:rsidRPr="00D315AC" w:rsidRDefault="00D315AC" w:rsidP="00D315AC">
            <w:pPr>
              <w:numPr>
                <w:ilvl w:val="0"/>
                <w:numId w:val="13"/>
              </w:numPr>
              <w:shd w:val="clear" w:color="auto" w:fill="FFFFFF"/>
              <w:tabs>
                <w:tab w:val="left" w:pos="9763"/>
              </w:tabs>
              <w:spacing w:line="360" w:lineRule="auto"/>
              <w:ind w:left="567" w:right="900"/>
              <w:jc w:val="both"/>
              <w:rPr>
                <w:rFonts w:ascii="Century Gothic" w:hAnsi="Century Gothic" w:cs="Arial"/>
                <w:bCs/>
                <w:i/>
                <w:iCs/>
                <w:sz w:val="22"/>
                <w:szCs w:val="22"/>
              </w:rPr>
            </w:pPr>
            <w:r w:rsidRPr="00D315AC">
              <w:rPr>
                <w:rFonts w:ascii="Century Gothic" w:hAnsi="Century Gothic" w:cs="Arial"/>
                <w:bCs/>
                <w:i/>
                <w:iCs/>
                <w:sz w:val="22"/>
                <w:szCs w:val="22"/>
              </w:rPr>
              <w:t xml:space="preserve">A quien reciba u obtenga de una persona, </w:t>
            </w:r>
            <w:proofErr w:type="spellStart"/>
            <w:r w:rsidRPr="00D315AC">
              <w:rPr>
                <w:rFonts w:ascii="Century Gothic" w:hAnsi="Century Gothic" w:cs="Arial"/>
                <w:bCs/>
                <w:i/>
                <w:iCs/>
                <w:sz w:val="22"/>
                <w:szCs w:val="22"/>
              </w:rPr>
              <w:t>imágenes</w:t>
            </w:r>
            <w:proofErr w:type="spellEnd"/>
            <w:r w:rsidRPr="00D315AC">
              <w:rPr>
                <w:rFonts w:ascii="Century Gothic" w:hAnsi="Century Gothic" w:cs="Arial"/>
                <w:bCs/>
                <w:i/>
                <w:iCs/>
                <w:sz w:val="22"/>
                <w:szCs w:val="22"/>
              </w:rPr>
              <w:t xml:space="preserve">, textos o grabaciones de voz o audiovisuales de contenido </w:t>
            </w:r>
            <w:proofErr w:type="spellStart"/>
            <w:r w:rsidRPr="00D315AC">
              <w:rPr>
                <w:rFonts w:ascii="Century Gothic" w:hAnsi="Century Gothic" w:cs="Arial"/>
                <w:bCs/>
                <w:i/>
                <w:iCs/>
                <w:sz w:val="22"/>
                <w:szCs w:val="22"/>
              </w:rPr>
              <w:t>erótico</w:t>
            </w:r>
            <w:proofErr w:type="spellEnd"/>
            <w:r w:rsidRPr="00D315AC">
              <w:rPr>
                <w:rFonts w:ascii="Century Gothic" w:hAnsi="Century Gothic" w:cs="Arial"/>
                <w:bCs/>
                <w:i/>
                <w:iCs/>
                <w:sz w:val="22"/>
                <w:szCs w:val="22"/>
              </w:rPr>
              <w:t xml:space="preserve"> o sexual y las revele o difunda sin su consentimiento y en perjuicio de su intimidad, se le </w:t>
            </w:r>
            <w:proofErr w:type="spellStart"/>
            <w:r w:rsidRPr="00D315AC">
              <w:rPr>
                <w:rFonts w:ascii="Century Gothic" w:hAnsi="Century Gothic" w:cs="Arial"/>
                <w:bCs/>
                <w:i/>
                <w:iCs/>
                <w:sz w:val="22"/>
                <w:szCs w:val="22"/>
              </w:rPr>
              <w:t>impondra</w:t>
            </w:r>
            <w:proofErr w:type="spellEnd"/>
            <w:r w:rsidRPr="00D315AC">
              <w:rPr>
                <w:rFonts w:ascii="Century Gothic" w:hAnsi="Century Gothic" w:cs="Arial"/>
                <w:bCs/>
                <w:i/>
                <w:iCs/>
                <w:sz w:val="22"/>
                <w:szCs w:val="22"/>
              </w:rPr>
              <w:t xml:space="preserve">́ </w:t>
            </w:r>
            <w:r w:rsidRPr="00D315AC">
              <w:rPr>
                <w:rFonts w:ascii="Century Gothic" w:hAnsi="Century Gothic" w:cs="Arial"/>
                <w:b/>
                <w:bCs/>
                <w:i/>
                <w:iCs/>
                <w:sz w:val="22"/>
                <w:szCs w:val="22"/>
                <w:u w:val="single"/>
              </w:rPr>
              <w:t xml:space="preserve">de tres a seis </w:t>
            </w:r>
            <w:proofErr w:type="spellStart"/>
            <w:r w:rsidRPr="00D315AC">
              <w:rPr>
                <w:rFonts w:ascii="Century Gothic" w:hAnsi="Century Gothic" w:cs="Arial"/>
                <w:b/>
                <w:bCs/>
                <w:i/>
                <w:iCs/>
                <w:sz w:val="22"/>
                <w:szCs w:val="22"/>
                <w:u w:val="single"/>
              </w:rPr>
              <w:t>años</w:t>
            </w:r>
            <w:proofErr w:type="spellEnd"/>
            <w:r w:rsidRPr="00D315AC">
              <w:rPr>
                <w:rFonts w:ascii="Century Gothic" w:hAnsi="Century Gothic" w:cs="Arial"/>
                <w:b/>
                <w:bCs/>
                <w:i/>
                <w:iCs/>
                <w:sz w:val="22"/>
                <w:szCs w:val="22"/>
                <w:u w:val="single"/>
              </w:rPr>
              <w:t xml:space="preserve"> de </w:t>
            </w:r>
            <w:proofErr w:type="spellStart"/>
            <w:r w:rsidRPr="00D315AC">
              <w:rPr>
                <w:rFonts w:ascii="Century Gothic" w:hAnsi="Century Gothic" w:cs="Arial"/>
                <w:b/>
                <w:bCs/>
                <w:i/>
                <w:iCs/>
                <w:sz w:val="22"/>
                <w:szCs w:val="22"/>
                <w:u w:val="single"/>
              </w:rPr>
              <w:t>prisión</w:t>
            </w:r>
            <w:proofErr w:type="spellEnd"/>
            <w:r w:rsidRPr="00D315AC">
              <w:rPr>
                <w:rFonts w:ascii="Century Gothic" w:hAnsi="Century Gothic" w:cs="Arial"/>
                <w:b/>
                <w:bCs/>
                <w:i/>
                <w:iCs/>
                <w:sz w:val="22"/>
                <w:szCs w:val="22"/>
                <w:u w:val="single"/>
              </w:rPr>
              <w:t xml:space="preserve"> y multa de quinientos a mil unidades de medida y actualización</w:t>
            </w:r>
            <w:r w:rsidRPr="00D315AC">
              <w:rPr>
                <w:rFonts w:ascii="Century Gothic" w:hAnsi="Century Gothic" w:cs="Arial"/>
                <w:bCs/>
                <w:i/>
                <w:iCs/>
                <w:sz w:val="22"/>
                <w:szCs w:val="22"/>
                <w:u w:val="single"/>
              </w:rPr>
              <w:t>.</w:t>
            </w:r>
          </w:p>
        </w:tc>
      </w:tr>
    </w:tbl>
    <w:p w14:paraId="4B924D6F" w14:textId="77777777" w:rsidR="00516E55" w:rsidRPr="00516E55" w:rsidRDefault="00516E55" w:rsidP="00D315AC">
      <w:pPr>
        <w:shd w:val="clear" w:color="auto" w:fill="FFFFFF"/>
        <w:tabs>
          <w:tab w:val="left" w:pos="9763"/>
        </w:tabs>
        <w:spacing w:line="360" w:lineRule="auto"/>
        <w:ind w:right="616"/>
        <w:jc w:val="both"/>
        <w:rPr>
          <w:rFonts w:ascii="Century Gothic" w:hAnsi="Century Gothic" w:cs="Arial"/>
          <w:bCs/>
          <w:i/>
          <w:iCs/>
          <w:sz w:val="22"/>
          <w:szCs w:val="22"/>
        </w:rPr>
      </w:pPr>
    </w:p>
    <w:p w14:paraId="48AEC73E" w14:textId="6422393A" w:rsidR="005D14CE" w:rsidRDefault="00D315AC" w:rsidP="005D14CE">
      <w:pPr>
        <w:pStyle w:val="Normal1"/>
        <w:spacing w:after="200" w:line="360" w:lineRule="auto"/>
        <w:ind w:right="50"/>
        <w:jc w:val="both"/>
        <w:rPr>
          <w:rFonts w:ascii="Century Gothic" w:eastAsia="Arial" w:hAnsi="Century Gothic" w:cs="Arial"/>
          <w:color w:val="auto"/>
          <w:lang w:val="es-MX"/>
        </w:rPr>
      </w:pPr>
      <w:r>
        <w:rPr>
          <w:rFonts w:ascii="Century Gothic" w:hAnsi="Century Gothic" w:cs="Arial"/>
          <w:b/>
          <w:bCs/>
          <w:color w:val="auto"/>
          <w:lang w:val="es-MX"/>
        </w:rPr>
        <w:lastRenderedPageBreak/>
        <w:t>I</w:t>
      </w:r>
      <w:r w:rsidR="00516E55" w:rsidRPr="00516E55">
        <w:rPr>
          <w:rFonts w:ascii="Century Gothic" w:hAnsi="Century Gothic" w:cs="Arial"/>
          <w:b/>
          <w:bCs/>
          <w:color w:val="auto"/>
          <w:lang w:val="es-MX"/>
        </w:rPr>
        <w:t xml:space="preserve">V. </w:t>
      </w:r>
      <w:r w:rsidR="005D14CE" w:rsidRPr="004174F1">
        <w:rPr>
          <w:rFonts w:ascii="Century Gothic" w:hAnsi="Century Gothic" w:cs="Arial"/>
          <w:color w:val="auto"/>
          <w:lang w:val="es-MX"/>
        </w:rPr>
        <w:t>Ahora bien, al entrar al estudio y análisis de la iniciativa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5710575D" w:rsid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28F468AC" w14:textId="77777777" w:rsidR="00D315AC" w:rsidRPr="00E863EF" w:rsidRDefault="00D315AC" w:rsidP="0047226D">
      <w:pPr>
        <w:pStyle w:val="Normal1"/>
        <w:spacing w:after="200" w:line="360" w:lineRule="auto"/>
        <w:ind w:right="50"/>
        <w:jc w:val="center"/>
        <w:rPr>
          <w:rFonts w:ascii="Century Gothic" w:eastAsia="Arial" w:hAnsi="Century Gothic" w:cs="Arial"/>
          <w:b/>
          <w:color w:val="auto"/>
          <w:lang w:val="es-MX"/>
        </w:rPr>
      </w:pPr>
    </w:p>
    <w:p w14:paraId="6EA30864" w14:textId="0F59C12C" w:rsidR="00A375EC" w:rsidRDefault="005D14CE" w:rsidP="0078432D">
      <w:pPr>
        <w:pStyle w:val="Normal1"/>
        <w:spacing w:line="360" w:lineRule="auto"/>
        <w:ind w:right="51"/>
        <w:contextualSpacing/>
        <w:jc w:val="both"/>
        <w:rPr>
          <w:rFonts w:ascii="Century Gothic" w:eastAsia="Calibri" w:hAnsi="Century Gothic" w:cs="Arial"/>
          <w:color w:val="auto"/>
        </w:rPr>
      </w:pPr>
      <w:r w:rsidRPr="004174F1">
        <w:rPr>
          <w:rFonts w:ascii="Century Gothic" w:eastAsia="Calibri" w:hAnsi="Century Gothic" w:cs="Arial"/>
          <w:b/>
          <w:bCs/>
          <w:color w:val="auto"/>
          <w:lang w:val="es-MX"/>
        </w:rPr>
        <w:t xml:space="preserve">I.- </w:t>
      </w:r>
      <w:r w:rsidR="0078432D" w:rsidRPr="0078432D">
        <w:rPr>
          <w:rFonts w:ascii="Century Gothic" w:eastAsia="Calibri" w:hAnsi="Century Gothic" w:cs="Arial"/>
          <w:color w:val="auto"/>
          <w:lang w:val="es-MX"/>
        </w:rPr>
        <w:t xml:space="preserve">Como se aprecia, </w:t>
      </w:r>
      <w:r w:rsidR="0078432D">
        <w:rPr>
          <w:rFonts w:ascii="Century Gothic" w:eastAsia="Calibri" w:hAnsi="Century Gothic" w:cs="Arial"/>
          <w:color w:val="auto"/>
          <w:lang w:val="es-MX"/>
        </w:rPr>
        <w:t>l</w:t>
      </w:r>
      <w:r w:rsidR="0078432D" w:rsidRPr="0078432D">
        <w:rPr>
          <w:rFonts w:ascii="Century Gothic" w:eastAsia="Calibri" w:hAnsi="Century Gothic" w:cs="Arial"/>
          <w:color w:val="auto"/>
          <w:lang w:val="es-MX"/>
        </w:rPr>
        <w:t xml:space="preserve">a </w:t>
      </w:r>
      <w:r w:rsidR="00A375EC" w:rsidRPr="00A375EC">
        <w:rPr>
          <w:rFonts w:ascii="Century Gothic" w:eastAsia="Calibri" w:hAnsi="Century Gothic" w:cs="Arial"/>
          <w:color w:val="auto"/>
        </w:rPr>
        <w:t xml:space="preserve">Iniciativa </w:t>
      </w:r>
      <w:r w:rsidR="0078432D">
        <w:rPr>
          <w:rFonts w:ascii="Century Gothic" w:eastAsia="Calibri" w:hAnsi="Century Gothic" w:cs="Arial"/>
          <w:color w:val="auto"/>
        </w:rPr>
        <w:t>pretende</w:t>
      </w:r>
      <w:r w:rsidR="00A375EC" w:rsidRPr="00A375EC">
        <w:rPr>
          <w:rFonts w:ascii="Century Gothic" w:eastAsia="Calibri" w:hAnsi="Century Gothic" w:cs="Arial"/>
          <w:color w:val="auto"/>
        </w:rPr>
        <w:t xml:space="preserve"> reformar el artículo 180 Bis del Código Penal del Estado de Chihuahua, con el propósito de incrementar la pena </w:t>
      </w:r>
      <w:r w:rsidR="00C37C12">
        <w:rPr>
          <w:rFonts w:ascii="Century Gothic" w:eastAsia="Calibri" w:hAnsi="Century Gothic" w:cs="Arial"/>
          <w:color w:val="auto"/>
        </w:rPr>
        <w:t>en</w:t>
      </w:r>
      <w:r w:rsidR="00A375EC" w:rsidRPr="00A375EC">
        <w:rPr>
          <w:rFonts w:ascii="Century Gothic" w:eastAsia="Calibri" w:hAnsi="Century Gothic" w:cs="Arial"/>
          <w:color w:val="auto"/>
        </w:rPr>
        <w:t xml:space="preserve"> los delitos en contra de la intimidad sexual.</w:t>
      </w:r>
    </w:p>
    <w:p w14:paraId="6766068D" w14:textId="501647EE" w:rsidR="0078432D" w:rsidRDefault="0078432D" w:rsidP="0078432D">
      <w:pPr>
        <w:pStyle w:val="Normal1"/>
        <w:spacing w:line="360" w:lineRule="auto"/>
        <w:ind w:right="51"/>
        <w:contextualSpacing/>
        <w:jc w:val="both"/>
        <w:rPr>
          <w:rFonts w:ascii="Century Gothic" w:eastAsia="Calibri" w:hAnsi="Century Gothic" w:cs="Arial"/>
          <w:color w:val="auto"/>
        </w:rPr>
      </w:pPr>
    </w:p>
    <w:p w14:paraId="01D26735" w14:textId="57AC88A5" w:rsidR="0078432D" w:rsidRDefault="0078432D"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Exponiendo entre otras cuestiones, que el despliegue conductual delictivo en contra de la intimidad de las personas, vulnera el bien jurídico de forma tal que el daño puede llegar a ser irreparable. </w:t>
      </w:r>
    </w:p>
    <w:p w14:paraId="38164D1A" w14:textId="4A98B8F5" w:rsidR="0078432D" w:rsidRDefault="0078432D" w:rsidP="0078432D">
      <w:pPr>
        <w:pStyle w:val="Normal1"/>
        <w:spacing w:line="360" w:lineRule="auto"/>
        <w:ind w:right="51"/>
        <w:contextualSpacing/>
        <w:jc w:val="both"/>
        <w:rPr>
          <w:rFonts w:ascii="Century Gothic" w:eastAsia="Calibri" w:hAnsi="Century Gothic" w:cs="Arial"/>
          <w:color w:val="auto"/>
        </w:rPr>
      </w:pPr>
    </w:p>
    <w:p w14:paraId="67C198B8" w14:textId="3FEA1322" w:rsidR="0078432D" w:rsidRDefault="0078432D"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De igual forma refiere que, s</w:t>
      </w:r>
      <w:r w:rsidRPr="00A375EC">
        <w:rPr>
          <w:rFonts w:ascii="Century Gothic" w:eastAsia="Calibri" w:hAnsi="Century Gothic" w:cs="Arial"/>
          <w:color w:val="auto"/>
        </w:rPr>
        <w:t xml:space="preserve">egún datos del </w:t>
      </w:r>
      <w:r>
        <w:rPr>
          <w:rFonts w:ascii="Century Gothic" w:eastAsia="Calibri" w:hAnsi="Century Gothic" w:cs="Arial"/>
          <w:color w:val="auto"/>
        </w:rPr>
        <w:t>INEGI, en México</w:t>
      </w:r>
      <w:r w:rsidRPr="00A375EC">
        <w:rPr>
          <w:rFonts w:ascii="Century Gothic" w:eastAsia="Calibri" w:hAnsi="Century Gothic" w:cs="Arial"/>
          <w:color w:val="auto"/>
        </w:rPr>
        <w:t xml:space="preserve"> 9.7 millones de mujeres de 12 años en delante</w:t>
      </w:r>
      <w:r>
        <w:rPr>
          <w:rFonts w:ascii="Century Gothic" w:eastAsia="Calibri" w:hAnsi="Century Gothic" w:cs="Arial"/>
          <w:color w:val="auto"/>
        </w:rPr>
        <w:t xml:space="preserve"> y</w:t>
      </w:r>
      <w:r w:rsidRPr="00A375EC">
        <w:rPr>
          <w:rFonts w:ascii="Century Gothic" w:eastAsia="Calibri" w:hAnsi="Century Gothic" w:cs="Arial"/>
          <w:color w:val="auto"/>
        </w:rPr>
        <w:t xml:space="preserve"> 8 millones de hombres</w:t>
      </w:r>
      <w:r>
        <w:rPr>
          <w:rFonts w:ascii="Century Gothic" w:eastAsia="Calibri" w:hAnsi="Century Gothic" w:cs="Arial"/>
          <w:color w:val="auto"/>
        </w:rPr>
        <w:t xml:space="preserve"> </w:t>
      </w:r>
      <w:r w:rsidRPr="00A375EC">
        <w:rPr>
          <w:rFonts w:ascii="Century Gothic" w:eastAsia="Calibri" w:hAnsi="Century Gothic" w:cs="Arial"/>
          <w:color w:val="auto"/>
        </w:rPr>
        <w:t>fueron v</w:t>
      </w:r>
      <w:r>
        <w:rPr>
          <w:rFonts w:ascii="Century Gothic" w:eastAsia="Calibri" w:hAnsi="Century Gothic" w:cs="Arial"/>
          <w:color w:val="auto"/>
        </w:rPr>
        <w:t>í</w:t>
      </w:r>
      <w:r w:rsidRPr="00A375EC">
        <w:rPr>
          <w:rFonts w:ascii="Century Gothic" w:eastAsia="Calibri" w:hAnsi="Century Gothic" w:cs="Arial"/>
          <w:color w:val="auto"/>
        </w:rPr>
        <w:t>ctimas de ciber acoso</w:t>
      </w:r>
      <w:r>
        <w:rPr>
          <w:rFonts w:ascii="Century Gothic" w:eastAsia="Calibri" w:hAnsi="Century Gothic" w:cs="Arial"/>
          <w:color w:val="auto"/>
        </w:rPr>
        <w:t xml:space="preserve">. </w:t>
      </w:r>
    </w:p>
    <w:p w14:paraId="49D51891" w14:textId="77777777" w:rsidR="0078432D" w:rsidRDefault="0078432D" w:rsidP="0078432D">
      <w:pPr>
        <w:pStyle w:val="Normal1"/>
        <w:spacing w:line="360" w:lineRule="auto"/>
        <w:ind w:right="51"/>
        <w:contextualSpacing/>
        <w:jc w:val="both"/>
        <w:rPr>
          <w:rFonts w:ascii="Century Gothic" w:eastAsia="Calibri" w:hAnsi="Century Gothic" w:cs="Arial"/>
          <w:color w:val="auto"/>
        </w:rPr>
      </w:pPr>
    </w:p>
    <w:p w14:paraId="7215B43D" w14:textId="77777777" w:rsidR="0078432D" w:rsidRDefault="0078432D"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Aunado, expresa que la penalidad privativa de libertad que contempla actualmente la legislación de Chihuahua para este delito, es muy baja, en comparación con lo establecido en el Código Penal Federal. </w:t>
      </w:r>
    </w:p>
    <w:p w14:paraId="1CE87217" w14:textId="77777777" w:rsidR="0078432D" w:rsidRDefault="0078432D" w:rsidP="0078432D">
      <w:pPr>
        <w:pStyle w:val="Normal1"/>
        <w:spacing w:line="360" w:lineRule="auto"/>
        <w:ind w:right="51"/>
        <w:contextualSpacing/>
        <w:jc w:val="both"/>
        <w:rPr>
          <w:rFonts w:ascii="Century Gothic" w:eastAsia="Calibri" w:hAnsi="Century Gothic" w:cs="Arial"/>
          <w:color w:val="auto"/>
        </w:rPr>
      </w:pPr>
    </w:p>
    <w:p w14:paraId="20585B2E" w14:textId="77777777" w:rsidR="0078432D" w:rsidRDefault="0078432D"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Por ello propone armonizarse con el Código Penal Federal en su parte punitiva. </w:t>
      </w:r>
    </w:p>
    <w:p w14:paraId="5FEEC6FF" w14:textId="77777777" w:rsidR="0078432D" w:rsidRDefault="0078432D" w:rsidP="0078432D">
      <w:pPr>
        <w:pStyle w:val="Normal1"/>
        <w:spacing w:line="360" w:lineRule="auto"/>
        <w:ind w:right="51"/>
        <w:contextualSpacing/>
        <w:jc w:val="both"/>
        <w:rPr>
          <w:rFonts w:ascii="Century Gothic" w:eastAsia="Calibri" w:hAnsi="Century Gothic" w:cs="Arial"/>
          <w:color w:val="auto"/>
        </w:rPr>
      </w:pPr>
    </w:p>
    <w:p w14:paraId="393B3549" w14:textId="14FFDC7A" w:rsidR="00A375EC" w:rsidRPr="00A375EC" w:rsidRDefault="0078432D" w:rsidP="0078432D">
      <w:pPr>
        <w:pStyle w:val="Normal1"/>
        <w:spacing w:line="360" w:lineRule="auto"/>
        <w:ind w:right="51"/>
        <w:contextualSpacing/>
        <w:jc w:val="both"/>
        <w:rPr>
          <w:rFonts w:ascii="Century Gothic" w:eastAsia="Calibri" w:hAnsi="Century Gothic" w:cs="Arial"/>
          <w:color w:val="auto"/>
        </w:rPr>
      </w:pPr>
      <w:r w:rsidRPr="0078432D">
        <w:rPr>
          <w:rFonts w:ascii="Century Gothic" w:eastAsia="Calibri" w:hAnsi="Century Gothic" w:cs="Arial"/>
          <w:b/>
          <w:bCs/>
          <w:color w:val="auto"/>
        </w:rPr>
        <w:lastRenderedPageBreak/>
        <w:t xml:space="preserve">II.- </w:t>
      </w:r>
      <w:r w:rsidR="00A375EC" w:rsidRPr="00A375EC">
        <w:rPr>
          <w:rFonts w:ascii="Century Gothic" w:eastAsia="Calibri" w:hAnsi="Century Gothic" w:cs="Arial"/>
          <w:color w:val="auto"/>
        </w:rPr>
        <w:t>Si bien es cierto que el Código Penal Federal contempla una punibilidad</w:t>
      </w:r>
      <w:r>
        <w:rPr>
          <w:rFonts w:ascii="Century Gothic" w:eastAsia="Calibri" w:hAnsi="Century Gothic" w:cs="Arial"/>
          <w:color w:val="auto"/>
        </w:rPr>
        <w:t xml:space="preserve"> privativa de libertad</w:t>
      </w:r>
      <w:r w:rsidR="00A375EC" w:rsidRPr="00A375EC">
        <w:rPr>
          <w:rFonts w:ascii="Century Gothic" w:eastAsia="Calibri" w:hAnsi="Century Gothic" w:cs="Arial"/>
          <w:color w:val="auto"/>
        </w:rPr>
        <w:t xml:space="preserve"> </w:t>
      </w:r>
      <w:r w:rsidRPr="00A375EC">
        <w:rPr>
          <w:rFonts w:ascii="Century Gothic" w:eastAsia="Calibri" w:hAnsi="Century Gothic" w:cs="Arial"/>
          <w:color w:val="auto"/>
        </w:rPr>
        <w:t>más</w:t>
      </w:r>
      <w:r w:rsidR="00A375EC" w:rsidRPr="00A375EC">
        <w:rPr>
          <w:rFonts w:ascii="Century Gothic" w:eastAsia="Calibri" w:hAnsi="Century Gothic" w:cs="Arial"/>
          <w:color w:val="auto"/>
        </w:rPr>
        <w:t xml:space="preserve"> alta</w:t>
      </w:r>
      <w:r w:rsidR="00503A3B">
        <w:rPr>
          <w:rFonts w:ascii="Century Gothic" w:eastAsia="Calibri" w:hAnsi="Century Gothic" w:cs="Arial"/>
          <w:color w:val="auto"/>
        </w:rPr>
        <w:t xml:space="preserve"> para este delito</w:t>
      </w:r>
      <w:r w:rsidR="00A375EC" w:rsidRPr="00A375EC">
        <w:rPr>
          <w:rFonts w:ascii="Century Gothic" w:eastAsia="Calibri" w:hAnsi="Century Gothic" w:cs="Arial"/>
          <w:color w:val="auto"/>
        </w:rPr>
        <w:t xml:space="preserve">, también es cierto que </w:t>
      </w:r>
      <w:r w:rsidR="00503A3B">
        <w:rPr>
          <w:rFonts w:ascii="Century Gothic" w:eastAsia="Calibri" w:hAnsi="Century Gothic" w:cs="Arial"/>
          <w:color w:val="auto"/>
        </w:rPr>
        <w:t>las penas establecidas en nuestra legislación local,</w:t>
      </w:r>
      <w:r w:rsidR="00A375EC" w:rsidRPr="00A375EC">
        <w:rPr>
          <w:rFonts w:ascii="Century Gothic" w:eastAsia="Calibri" w:hAnsi="Century Gothic" w:cs="Arial"/>
          <w:color w:val="auto"/>
        </w:rPr>
        <w:t xml:space="preserve"> obedecen a un principio de proporcionalidad basado en un sistema punitivo en relación al bien jurídico tutelado y la magnitud del daño causado</w:t>
      </w:r>
      <w:r w:rsidR="00503A3B">
        <w:rPr>
          <w:rFonts w:ascii="Century Gothic" w:eastAsia="Calibri" w:hAnsi="Century Gothic" w:cs="Arial"/>
          <w:color w:val="auto"/>
        </w:rPr>
        <w:t>,</w:t>
      </w:r>
      <w:r w:rsidR="00A375EC" w:rsidRPr="00A375EC">
        <w:rPr>
          <w:rFonts w:ascii="Century Gothic" w:eastAsia="Calibri" w:hAnsi="Century Gothic" w:cs="Arial"/>
          <w:color w:val="auto"/>
        </w:rPr>
        <w:t xml:space="preserve"> y no necesariamente a las penas que se impongan en otras latitudes. </w:t>
      </w:r>
    </w:p>
    <w:p w14:paraId="2F77F69B" w14:textId="77777777" w:rsidR="00A375EC" w:rsidRPr="00A375EC" w:rsidRDefault="00A375EC" w:rsidP="0078432D">
      <w:pPr>
        <w:pStyle w:val="Normal1"/>
        <w:spacing w:line="360" w:lineRule="auto"/>
        <w:ind w:right="51"/>
        <w:contextualSpacing/>
        <w:jc w:val="both"/>
        <w:rPr>
          <w:rFonts w:ascii="Century Gothic" w:eastAsia="Calibri" w:hAnsi="Century Gothic" w:cs="Arial"/>
          <w:color w:val="auto"/>
        </w:rPr>
      </w:pPr>
    </w:p>
    <w:p w14:paraId="153E2EC1" w14:textId="4B13903D" w:rsidR="00503A3B"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t xml:space="preserve">Sin </w:t>
      </w:r>
      <w:r w:rsidR="00503A3B" w:rsidRPr="00A375EC">
        <w:rPr>
          <w:rFonts w:ascii="Century Gothic" w:eastAsia="Calibri" w:hAnsi="Century Gothic" w:cs="Arial"/>
          <w:color w:val="auto"/>
        </w:rPr>
        <w:t>embargo,</w:t>
      </w:r>
      <w:r w:rsidRPr="00A375EC">
        <w:rPr>
          <w:rFonts w:ascii="Century Gothic" w:eastAsia="Calibri" w:hAnsi="Century Gothic" w:cs="Arial"/>
          <w:color w:val="auto"/>
        </w:rPr>
        <w:t xml:space="preserve"> basado en nuestro sistema punitivo en donde se ha considerado el abuso sexual como una conducta que daña </w:t>
      </w:r>
      <w:r w:rsidR="00503A3B" w:rsidRPr="00A375EC">
        <w:rPr>
          <w:rFonts w:ascii="Century Gothic" w:eastAsia="Calibri" w:hAnsi="Century Gothic" w:cs="Arial"/>
          <w:color w:val="auto"/>
        </w:rPr>
        <w:t>más</w:t>
      </w:r>
      <w:r w:rsidRPr="00A375EC">
        <w:rPr>
          <w:rFonts w:ascii="Century Gothic" w:eastAsia="Calibri" w:hAnsi="Century Gothic" w:cs="Arial"/>
          <w:color w:val="auto"/>
        </w:rPr>
        <w:t xml:space="preserve"> el bien jurídico que lo delitos contra la intimidad</w:t>
      </w:r>
      <w:r w:rsidR="00503A3B">
        <w:rPr>
          <w:rStyle w:val="Refdenotaalpie"/>
          <w:rFonts w:ascii="Century Gothic" w:eastAsia="Calibri" w:hAnsi="Century Gothic" w:cs="Arial"/>
          <w:color w:val="auto"/>
        </w:rPr>
        <w:footnoteReference w:id="1"/>
      </w:r>
      <w:r w:rsidR="00503A3B">
        <w:rPr>
          <w:rFonts w:ascii="Century Gothic" w:eastAsia="Calibri" w:hAnsi="Century Gothic" w:cs="Arial"/>
          <w:color w:val="auto"/>
        </w:rPr>
        <w:t xml:space="preserve"> -</w:t>
      </w:r>
      <w:r w:rsidRPr="00A375EC">
        <w:rPr>
          <w:rFonts w:ascii="Century Gothic" w:eastAsia="Calibri" w:hAnsi="Century Gothic" w:cs="Arial"/>
          <w:color w:val="auto"/>
        </w:rPr>
        <w:t>lo cual sería motivo de otro debate el cuestionar está estructura en los delitos sexuales en virtud de las consecuencias generadas al desplegar la conducta lesiva</w:t>
      </w:r>
      <w:r w:rsidR="00503A3B">
        <w:rPr>
          <w:rFonts w:ascii="Century Gothic" w:eastAsia="Calibri" w:hAnsi="Century Gothic" w:cs="Arial"/>
          <w:color w:val="auto"/>
        </w:rPr>
        <w:t xml:space="preserve">, en torno a la difícil reparación del daño en las </w:t>
      </w:r>
      <w:r w:rsidR="00487C9F">
        <w:rPr>
          <w:rFonts w:ascii="Century Gothic" w:eastAsia="Calibri" w:hAnsi="Century Gothic" w:cs="Arial"/>
          <w:color w:val="auto"/>
        </w:rPr>
        <w:t>víctimas</w:t>
      </w:r>
      <w:r w:rsidR="00503A3B">
        <w:rPr>
          <w:rFonts w:ascii="Century Gothic" w:eastAsia="Calibri" w:hAnsi="Century Gothic" w:cs="Arial"/>
          <w:color w:val="auto"/>
        </w:rPr>
        <w:t xml:space="preserve"> de</w:t>
      </w:r>
      <w:r w:rsidR="00487C9F">
        <w:rPr>
          <w:rFonts w:ascii="Century Gothic" w:eastAsia="Calibri" w:hAnsi="Century Gothic" w:cs="Arial"/>
          <w:color w:val="auto"/>
        </w:rPr>
        <w:t xml:space="preserve">l </w:t>
      </w:r>
      <w:r w:rsidR="00503A3B">
        <w:rPr>
          <w:rFonts w:ascii="Century Gothic" w:eastAsia="Calibri" w:hAnsi="Century Gothic" w:cs="Arial"/>
          <w:color w:val="auto"/>
        </w:rPr>
        <w:t>delito contra la intimidad-</w:t>
      </w:r>
      <w:r w:rsidR="00487C9F">
        <w:rPr>
          <w:rFonts w:ascii="Century Gothic" w:eastAsia="Calibri" w:hAnsi="Century Gothic" w:cs="Arial"/>
          <w:color w:val="auto"/>
        </w:rPr>
        <w:t>, difícilmente podríamos aumentar las penas y sobrepasar las contempladas para el abuso sexual y la violación</w:t>
      </w:r>
      <w:r w:rsidR="00503A3B">
        <w:rPr>
          <w:rFonts w:ascii="Century Gothic" w:eastAsia="Calibri" w:hAnsi="Century Gothic" w:cs="Arial"/>
          <w:color w:val="auto"/>
        </w:rPr>
        <w:t>.</w:t>
      </w:r>
    </w:p>
    <w:p w14:paraId="1008C37F" w14:textId="77777777" w:rsidR="00503A3B" w:rsidRPr="00A375EC" w:rsidRDefault="00503A3B" w:rsidP="0078432D">
      <w:pPr>
        <w:pStyle w:val="Normal1"/>
        <w:spacing w:line="360" w:lineRule="auto"/>
        <w:ind w:right="51"/>
        <w:contextualSpacing/>
        <w:jc w:val="both"/>
        <w:rPr>
          <w:rFonts w:ascii="Century Gothic" w:eastAsia="Calibri" w:hAnsi="Century Gothic" w:cs="Arial"/>
          <w:color w:val="auto"/>
        </w:rPr>
      </w:pPr>
    </w:p>
    <w:p w14:paraId="7725D392" w14:textId="01546ED5" w:rsidR="00487C9F"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t xml:space="preserve">Aun así, para el estudio que hoy nos atañe, tomando en consideración parte de las consecuencias de este delito y que visibiliza la iniciativa, es decir, que este tipo de </w:t>
      </w:r>
      <w:r w:rsidR="00487C9F">
        <w:rPr>
          <w:rFonts w:ascii="Century Gothic" w:eastAsia="Calibri" w:hAnsi="Century Gothic" w:cs="Arial"/>
          <w:color w:val="auto"/>
        </w:rPr>
        <w:t>conductas</w:t>
      </w:r>
      <w:r w:rsidRPr="00A375EC">
        <w:rPr>
          <w:rFonts w:ascii="Century Gothic" w:eastAsia="Calibri" w:hAnsi="Century Gothic" w:cs="Arial"/>
          <w:color w:val="auto"/>
        </w:rPr>
        <w:t xml:space="preserve"> podrían generar consecuencias irreparables; en algunos casos, cuando menos, las v</w:t>
      </w:r>
      <w:r w:rsidR="00487C9F">
        <w:rPr>
          <w:rFonts w:ascii="Century Gothic" w:eastAsia="Calibri" w:hAnsi="Century Gothic" w:cs="Arial"/>
          <w:color w:val="auto"/>
        </w:rPr>
        <w:t>í</w:t>
      </w:r>
      <w:r w:rsidRPr="00A375EC">
        <w:rPr>
          <w:rFonts w:ascii="Century Gothic" w:eastAsia="Calibri" w:hAnsi="Century Gothic" w:cs="Arial"/>
          <w:color w:val="auto"/>
        </w:rPr>
        <w:t>ctimas han intentado suicidarse</w:t>
      </w:r>
      <w:r w:rsidR="00487C9F">
        <w:rPr>
          <w:rFonts w:ascii="Century Gothic" w:eastAsia="Calibri" w:hAnsi="Century Gothic" w:cs="Arial"/>
          <w:color w:val="auto"/>
        </w:rPr>
        <w:t>;</w:t>
      </w:r>
      <w:r w:rsidRPr="00A375EC">
        <w:rPr>
          <w:rFonts w:ascii="Century Gothic" w:eastAsia="Calibri" w:hAnsi="Century Gothic" w:cs="Arial"/>
          <w:color w:val="auto"/>
        </w:rPr>
        <w:t xml:space="preserve"> y las niñas, niños y adolescentes son v</w:t>
      </w:r>
      <w:r w:rsidR="00487C9F">
        <w:rPr>
          <w:rFonts w:ascii="Century Gothic" w:eastAsia="Calibri" w:hAnsi="Century Gothic" w:cs="Arial"/>
          <w:color w:val="auto"/>
        </w:rPr>
        <w:t>í</w:t>
      </w:r>
      <w:r w:rsidRPr="00A375EC">
        <w:rPr>
          <w:rFonts w:ascii="Century Gothic" w:eastAsia="Calibri" w:hAnsi="Century Gothic" w:cs="Arial"/>
          <w:color w:val="auto"/>
        </w:rPr>
        <w:t>ctimas de est</w:t>
      </w:r>
      <w:r w:rsidR="00487C9F">
        <w:rPr>
          <w:rFonts w:ascii="Century Gothic" w:eastAsia="Calibri" w:hAnsi="Century Gothic" w:cs="Arial"/>
          <w:color w:val="auto"/>
        </w:rPr>
        <w:t>a vulneración</w:t>
      </w:r>
      <w:r w:rsidR="00C37C12">
        <w:rPr>
          <w:rFonts w:ascii="Century Gothic" w:eastAsia="Calibri" w:hAnsi="Century Gothic" w:cs="Arial"/>
          <w:color w:val="auto"/>
        </w:rPr>
        <w:t>,</w:t>
      </w:r>
      <w:r w:rsidR="00487C9F">
        <w:rPr>
          <w:rFonts w:ascii="Century Gothic" w:eastAsia="Calibri" w:hAnsi="Century Gothic" w:cs="Arial"/>
          <w:color w:val="auto"/>
        </w:rPr>
        <w:t xml:space="preserve"> </w:t>
      </w:r>
      <w:r w:rsidR="00487C9F">
        <w:rPr>
          <w:rFonts w:ascii="Century Gothic" w:eastAsia="Calibri" w:hAnsi="Century Gothic" w:cs="Arial"/>
          <w:color w:val="auto"/>
        </w:rPr>
        <w:lastRenderedPageBreak/>
        <w:t xml:space="preserve">es se podría justificar el aumento de penas, respetando el principio de proporcionalidad, sin necesidad de restructurar la gama de delitos sexuales. </w:t>
      </w:r>
    </w:p>
    <w:p w14:paraId="0BC0EF29" w14:textId="03A3B93C" w:rsidR="00487C9F" w:rsidRDefault="00487C9F" w:rsidP="0078432D">
      <w:pPr>
        <w:pStyle w:val="Normal1"/>
        <w:spacing w:line="360" w:lineRule="auto"/>
        <w:ind w:right="51"/>
        <w:contextualSpacing/>
        <w:jc w:val="both"/>
        <w:rPr>
          <w:rFonts w:ascii="Century Gothic" w:eastAsia="Calibri" w:hAnsi="Century Gothic" w:cs="Arial"/>
          <w:color w:val="auto"/>
        </w:rPr>
      </w:pPr>
    </w:p>
    <w:p w14:paraId="3B05F542" w14:textId="77824B28" w:rsidR="00487C9F" w:rsidRDefault="00903348" w:rsidP="0078432D">
      <w:pPr>
        <w:pStyle w:val="Normal1"/>
        <w:spacing w:line="360" w:lineRule="auto"/>
        <w:ind w:right="51"/>
        <w:contextualSpacing/>
        <w:jc w:val="both"/>
        <w:rPr>
          <w:rFonts w:ascii="Century Gothic" w:eastAsia="Calibri" w:hAnsi="Century Gothic" w:cs="Arial"/>
          <w:color w:val="auto"/>
        </w:rPr>
      </w:pPr>
      <w:r w:rsidRPr="00903348">
        <w:rPr>
          <w:rFonts w:ascii="Century Gothic" w:eastAsia="Calibri" w:hAnsi="Century Gothic" w:cs="Arial"/>
          <w:b/>
          <w:bCs/>
          <w:color w:val="auto"/>
        </w:rPr>
        <w:t xml:space="preserve">III.- </w:t>
      </w:r>
      <w:r w:rsidR="00487C9F">
        <w:rPr>
          <w:rFonts w:ascii="Century Gothic" w:eastAsia="Calibri" w:hAnsi="Century Gothic" w:cs="Arial"/>
          <w:color w:val="auto"/>
        </w:rPr>
        <w:t xml:space="preserve">Por ello, es importante visibilizar </w:t>
      </w:r>
      <w:r>
        <w:rPr>
          <w:rFonts w:ascii="Century Gothic" w:eastAsia="Calibri" w:hAnsi="Century Gothic" w:cs="Arial"/>
          <w:color w:val="auto"/>
        </w:rPr>
        <w:t xml:space="preserve">dos reflexiones de la Suprema Corte de Justicia de la Nación. </w:t>
      </w:r>
    </w:p>
    <w:p w14:paraId="07152D24" w14:textId="77777777" w:rsidR="00487C9F" w:rsidRDefault="00487C9F" w:rsidP="0078432D">
      <w:pPr>
        <w:pStyle w:val="Normal1"/>
        <w:spacing w:line="360" w:lineRule="auto"/>
        <w:ind w:right="51"/>
        <w:contextualSpacing/>
        <w:jc w:val="both"/>
        <w:rPr>
          <w:rFonts w:ascii="Century Gothic" w:eastAsia="Calibri" w:hAnsi="Century Gothic" w:cs="Arial"/>
          <w:color w:val="auto"/>
        </w:rPr>
      </w:pPr>
    </w:p>
    <w:p w14:paraId="2EEBD065" w14:textId="73C42189" w:rsidR="00A375EC" w:rsidRDefault="00903348" w:rsidP="0078432D">
      <w:pPr>
        <w:pStyle w:val="Normal1"/>
        <w:spacing w:line="360" w:lineRule="auto"/>
        <w:ind w:right="51"/>
        <w:contextualSpacing/>
        <w:jc w:val="both"/>
        <w:rPr>
          <w:rFonts w:ascii="Century Gothic" w:hAnsi="Century Gothic" w:cs="Arial"/>
          <w:lang w:val="es-MX"/>
        </w:rPr>
      </w:pPr>
      <w:r>
        <w:rPr>
          <w:rFonts w:ascii="Century Gothic" w:eastAsia="Calibri" w:hAnsi="Century Gothic" w:cs="Arial"/>
          <w:color w:val="auto"/>
        </w:rPr>
        <w:t xml:space="preserve">La primera, deriva de </w:t>
      </w:r>
      <w:r w:rsidR="00ED1ED3">
        <w:rPr>
          <w:rFonts w:ascii="Century Gothic" w:eastAsia="Calibri" w:hAnsi="Century Gothic" w:cs="Arial"/>
          <w:color w:val="auto"/>
        </w:rPr>
        <w:t>la</w:t>
      </w:r>
      <w:r>
        <w:rPr>
          <w:rFonts w:ascii="Century Gothic" w:eastAsia="Calibri" w:hAnsi="Century Gothic" w:cs="Arial"/>
          <w:color w:val="auto"/>
        </w:rPr>
        <w:t xml:space="preserve"> Jurisprudencia </w:t>
      </w:r>
      <w:r w:rsidR="00ED1ED3">
        <w:rPr>
          <w:rFonts w:ascii="Century Gothic" w:eastAsia="Calibri" w:hAnsi="Century Gothic" w:cs="Arial"/>
          <w:color w:val="auto"/>
        </w:rPr>
        <w:t>bajo la voz “</w:t>
      </w:r>
      <w:r w:rsidR="00ED1ED3" w:rsidRPr="00ED1ED3">
        <w:rPr>
          <w:rFonts w:ascii="Century Gothic" w:hAnsi="Century Gothic" w:cs="Arial"/>
          <w:lang w:val="x-none"/>
        </w:rPr>
        <w:t>SUSPENSIÓN CONDICIONAL DEL PROCESO. LA LIMITANTE PARA CONCEDERLA, RELATIVA A QUE EL AUTO DE VINCULACIÓN A PROCESO SE HAYA DICTADO POR UN DELITO CUYA MEDIA ARITMÉTICA NO EXCEDA LOS CINCO AÑOS DE PRISIÓN, NO VULNERA EL DERECHO DE ACCESO A LA JUSTICIA</w:t>
      </w:r>
      <w:r w:rsidR="00ED1ED3">
        <w:rPr>
          <w:rFonts w:ascii="Century Gothic" w:hAnsi="Century Gothic" w:cs="Arial"/>
          <w:lang w:val="es-MX"/>
        </w:rPr>
        <w:t>”</w:t>
      </w:r>
      <w:r w:rsidR="00ED1ED3" w:rsidRPr="00ED1ED3">
        <w:rPr>
          <w:rFonts w:ascii="Century Gothic" w:hAnsi="Century Gothic" w:cs="Arial"/>
          <w:lang w:val="x-none"/>
        </w:rPr>
        <w:t>.</w:t>
      </w:r>
      <w:r w:rsidR="00ED1ED3">
        <w:rPr>
          <w:rStyle w:val="Refdenotaalpie"/>
          <w:rFonts w:ascii="Century Gothic" w:eastAsia="Calibri" w:hAnsi="Century Gothic" w:cs="Arial"/>
          <w:color w:val="auto"/>
        </w:rPr>
        <w:footnoteReference w:id="2"/>
      </w:r>
      <w:r w:rsidR="00ED1ED3">
        <w:rPr>
          <w:rFonts w:ascii="Century Gothic" w:hAnsi="Century Gothic" w:cs="Arial"/>
          <w:lang w:val="es-MX"/>
        </w:rPr>
        <w:t xml:space="preserve"> De la cual se resalta la siguiente reflexión: </w:t>
      </w:r>
    </w:p>
    <w:p w14:paraId="46478054" w14:textId="4012DE39" w:rsidR="00ED1ED3" w:rsidRDefault="00ED1ED3" w:rsidP="0078432D">
      <w:pPr>
        <w:pStyle w:val="Normal1"/>
        <w:spacing w:line="360" w:lineRule="auto"/>
        <w:ind w:right="51"/>
        <w:contextualSpacing/>
        <w:jc w:val="both"/>
        <w:rPr>
          <w:rFonts w:ascii="Century Gothic" w:hAnsi="Century Gothic" w:cs="Arial"/>
          <w:lang w:val="es-MX"/>
        </w:rPr>
      </w:pPr>
    </w:p>
    <w:p w14:paraId="2EE40407" w14:textId="7C7A5C96" w:rsidR="00ED1ED3" w:rsidRPr="00A375EC" w:rsidRDefault="00ED1ED3" w:rsidP="0078432D">
      <w:pPr>
        <w:pStyle w:val="Normal1"/>
        <w:spacing w:line="360" w:lineRule="auto"/>
        <w:ind w:right="51"/>
        <w:contextualSpacing/>
        <w:jc w:val="both"/>
        <w:rPr>
          <w:rFonts w:ascii="Century Gothic" w:hAnsi="Century Gothic" w:cs="Arial"/>
          <w:lang w:val="es-MX"/>
        </w:rPr>
      </w:pPr>
      <w:r>
        <w:rPr>
          <w:rFonts w:ascii="Century Gothic" w:hAnsi="Century Gothic" w:cs="Arial"/>
          <w:lang w:val="es-MX"/>
        </w:rPr>
        <w:t xml:space="preserve">“... </w:t>
      </w:r>
      <w:r w:rsidRPr="00ED1ED3">
        <w:rPr>
          <w:rFonts w:ascii="Century Gothic" w:hAnsi="Century Gothic" w:cs="Arial"/>
          <w:i/>
          <w:iCs/>
          <w:lang w:val="es-MX"/>
        </w:rPr>
        <w:t xml:space="preserve">de la Constitución Política de los Estados Unidos Mexicanos deriva una forma de administración de justicia más ágil a través de la utilización de mecanismos alternos de solución de controversias, el cual no se previó como un derecho generalizado, sino que delegó en el legislador secundario la instrumentación de su aplicación en atención a la naturaleza de los derechos tutelados en la norma penal. Ese tipo de mecanismos busca conseguir una restauración efectiva a los efectos producidos por el delito, la cual debe permitir a las partes en conflicto el conciliar sus intereses </w:t>
      </w:r>
      <w:r>
        <w:rPr>
          <w:rFonts w:ascii="Century Gothic" w:hAnsi="Century Gothic" w:cs="Arial"/>
          <w:lang w:val="es-MX"/>
        </w:rPr>
        <w:t>...”</w:t>
      </w:r>
    </w:p>
    <w:p w14:paraId="7C546440" w14:textId="7D3ED7EE" w:rsidR="00A375EC" w:rsidRDefault="00A375EC" w:rsidP="0078432D">
      <w:pPr>
        <w:pStyle w:val="Normal1"/>
        <w:spacing w:line="360" w:lineRule="auto"/>
        <w:ind w:right="51"/>
        <w:contextualSpacing/>
        <w:jc w:val="both"/>
        <w:rPr>
          <w:rFonts w:ascii="Century Gothic" w:eastAsia="Calibri" w:hAnsi="Century Gothic" w:cs="Arial"/>
          <w:color w:val="auto"/>
        </w:rPr>
      </w:pPr>
    </w:p>
    <w:p w14:paraId="4328794B" w14:textId="56C192F3" w:rsidR="00ED1ED3" w:rsidRPr="00ED1ED3" w:rsidRDefault="00ED1ED3"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La segunda reflexión, proviene de la </w:t>
      </w:r>
      <w:bookmarkStart w:id="1" w:name="_Hlk171611065"/>
      <w:r w:rsidR="00A375EC" w:rsidRPr="00A375EC">
        <w:rPr>
          <w:rFonts w:ascii="Century Gothic" w:eastAsia="Calibri" w:hAnsi="Century Gothic" w:cs="Arial"/>
          <w:color w:val="auto"/>
        </w:rPr>
        <w:t>Acción de Inconstitucionalidad 39/2015</w:t>
      </w:r>
      <w:bookmarkEnd w:id="1"/>
      <w:r w:rsidR="00A375EC" w:rsidRPr="00A375EC">
        <w:rPr>
          <w:rFonts w:ascii="Century Gothic" w:eastAsia="Calibri" w:hAnsi="Century Gothic" w:cs="Arial"/>
          <w:color w:val="auto"/>
        </w:rPr>
        <w:t xml:space="preserve">, </w:t>
      </w:r>
      <w:r>
        <w:rPr>
          <w:rFonts w:ascii="Century Gothic" w:eastAsia="Calibri" w:hAnsi="Century Gothic" w:cs="Arial"/>
          <w:color w:val="auto"/>
        </w:rPr>
        <w:t xml:space="preserve">cuando se cuestiona si </w:t>
      </w:r>
      <w:r>
        <w:rPr>
          <w:rFonts w:ascii="Century Gothic" w:eastAsia="Calibri" w:hAnsi="Century Gothic" w:cs="Arial"/>
          <w:color w:val="auto"/>
          <w:lang w:val="es-MX"/>
        </w:rPr>
        <w:t>e</w:t>
      </w:r>
      <w:r w:rsidRPr="00A375EC">
        <w:rPr>
          <w:rFonts w:ascii="Century Gothic" w:eastAsia="Calibri" w:hAnsi="Century Gothic" w:cs="Arial"/>
          <w:color w:val="auto"/>
          <w:lang w:val="es-MX"/>
        </w:rPr>
        <w:t xml:space="preserve">xponer en medios de comunicación a </w:t>
      </w:r>
      <w:r w:rsidRPr="00A375EC">
        <w:rPr>
          <w:rFonts w:ascii="Century Gothic" w:eastAsia="Calibri" w:hAnsi="Century Gothic" w:cs="Arial"/>
          <w:color w:val="auto"/>
          <w:lang w:val="es-MX"/>
        </w:rPr>
        <w:lastRenderedPageBreak/>
        <w:t>menores de edad sujetos al sistema integral de justicia para adolescentes cuando exista el consentimiento respectivo, ¿vulnera el interés superior de la niñez en relación con el principio de autonomía personal?</w:t>
      </w:r>
      <w:r>
        <w:rPr>
          <w:rFonts w:ascii="Century Gothic" w:eastAsia="Calibri" w:hAnsi="Century Gothic" w:cs="Arial"/>
          <w:color w:val="auto"/>
          <w:lang w:val="es-MX"/>
        </w:rPr>
        <w:t xml:space="preserve">, a lo que responde el Pleno de la Suprema Corte de Justicia lo siguiente: </w:t>
      </w:r>
    </w:p>
    <w:p w14:paraId="32BD228C" w14:textId="77777777" w:rsidR="00A375EC" w:rsidRPr="00A375EC" w:rsidRDefault="00A375EC" w:rsidP="0078432D">
      <w:pPr>
        <w:pStyle w:val="Normal1"/>
        <w:spacing w:line="360" w:lineRule="auto"/>
        <w:ind w:right="51"/>
        <w:contextualSpacing/>
        <w:jc w:val="both"/>
        <w:rPr>
          <w:rFonts w:ascii="Century Gothic" w:eastAsia="Calibri" w:hAnsi="Century Gothic" w:cs="Arial"/>
          <w:color w:val="auto"/>
        </w:rPr>
      </w:pPr>
    </w:p>
    <w:p w14:paraId="1CE32197" w14:textId="1233DA1D" w:rsidR="00A375EC"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t xml:space="preserve"> </w:t>
      </w:r>
      <w:r w:rsidR="00CC382B">
        <w:rPr>
          <w:rFonts w:ascii="Century Gothic" w:eastAsia="Calibri" w:hAnsi="Century Gothic" w:cs="Arial"/>
          <w:color w:val="auto"/>
        </w:rPr>
        <w:t>“</w:t>
      </w:r>
      <w:r w:rsidRPr="00A375EC">
        <w:rPr>
          <w:rFonts w:ascii="Century Gothic" w:eastAsia="Calibri" w:hAnsi="Century Gothic" w:cs="Arial"/>
          <w:color w:val="auto"/>
        </w:rPr>
        <w:t xml:space="preserve">... </w:t>
      </w:r>
      <w:r w:rsidRPr="00A375EC">
        <w:rPr>
          <w:rFonts w:ascii="Century Gothic" w:eastAsia="Calibri" w:hAnsi="Century Gothic" w:cs="Arial"/>
          <w:i/>
          <w:iCs/>
          <w:color w:val="auto"/>
        </w:rPr>
        <w:t>al permitir su exposición a los medios de comunicación como presunto autor de un hecho delictivo, le estigmatiza de una manera difícil o imposible de reparar, esto es, deja en su historia de vida una marca prácticamente indeleble que con seguridad tendrá un impacto intenso en las posibilidades del menor de gozar en el futuro de autonomía personal, pues a raíz de esa exposición, el abanico de opciones de vida que puede elegir y materializar libremente se habrá cerrado considerablemente</w:t>
      </w:r>
      <w:r w:rsidRPr="00A375EC">
        <w:rPr>
          <w:rFonts w:ascii="Century Gothic" w:eastAsia="Calibri" w:hAnsi="Century Gothic" w:cs="Arial"/>
          <w:color w:val="auto"/>
        </w:rPr>
        <w:t>".</w:t>
      </w:r>
      <w:r w:rsidR="00CC382B">
        <w:rPr>
          <w:rStyle w:val="Refdenotaalpie"/>
          <w:rFonts w:ascii="Century Gothic" w:eastAsia="Calibri" w:hAnsi="Century Gothic" w:cs="Arial"/>
          <w:color w:val="auto"/>
        </w:rPr>
        <w:footnoteReference w:id="3"/>
      </w:r>
      <w:r w:rsidRPr="00A375EC">
        <w:rPr>
          <w:rFonts w:ascii="Century Gothic" w:eastAsia="Calibri" w:hAnsi="Century Gothic" w:cs="Arial"/>
          <w:color w:val="auto"/>
        </w:rPr>
        <w:t xml:space="preserve"> </w:t>
      </w:r>
    </w:p>
    <w:p w14:paraId="28413804" w14:textId="690EB93B" w:rsidR="00CC382B" w:rsidRDefault="00CC382B" w:rsidP="0078432D">
      <w:pPr>
        <w:pStyle w:val="Normal1"/>
        <w:spacing w:line="360" w:lineRule="auto"/>
        <w:ind w:right="51"/>
        <w:contextualSpacing/>
        <w:jc w:val="both"/>
        <w:rPr>
          <w:rFonts w:ascii="Century Gothic" w:eastAsia="Calibri" w:hAnsi="Century Gothic" w:cs="Arial"/>
          <w:color w:val="auto"/>
        </w:rPr>
      </w:pPr>
    </w:p>
    <w:p w14:paraId="3218FB8D" w14:textId="368E1D52" w:rsidR="00A375EC" w:rsidRPr="00A375EC" w:rsidRDefault="00CC382B" w:rsidP="00CC382B">
      <w:pPr>
        <w:pStyle w:val="Normal1"/>
        <w:spacing w:line="360" w:lineRule="auto"/>
        <w:ind w:right="51"/>
        <w:contextualSpacing/>
        <w:jc w:val="both"/>
        <w:rPr>
          <w:rFonts w:ascii="Century Gothic" w:eastAsia="Calibri" w:hAnsi="Century Gothic" w:cs="Arial"/>
          <w:color w:val="auto"/>
        </w:rPr>
      </w:pPr>
      <w:r w:rsidRPr="00CC382B">
        <w:rPr>
          <w:rFonts w:ascii="Century Gothic" w:eastAsia="Calibri" w:hAnsi="Century Gothic" w:cs="Arial"/>
          <w:b/>
          <w:bCs/>
          <w:color w:val="auto"/>
        </w:rPr>
        <w:t>IV.-</w:t>
      </w:r>
      <w:r>
        <w:rPr>
          <w:rFonts w:ascii="Century Gothic" w:eastAsia="Calibri" w:hAnsi="Century Gothic" w:cs="Arial"/>
          <w:color w:val="auto"/>
        </w:rPr>
        <w:t xml:space="preserve"> Las anteriores dos reflexiones, </w:t>
      </w:r>
      <w:r w:rsidR="00A375EC" w:rsidRPr="00A375EC">
        <w:rPr>
          <w:rFonts w:ascii="Century Gothic" w:eastAsia="Calibri" w:hAnsi="Century Gothic" w:cs="Arial"/>
          <w:color w:val="auto"/>
        </w:rPr>
        <w:t xml:space="preserve">con el aumento de penas en los delitos contra la intimidad, </w:t>
      </w:r>
      <w:r>
        <w:rPr>
          <w:rFonts w:ascii="Century Gothic" w:eastAsia="Calibri" w:hAnsi="Century Gothic" w:cs="Arial"/>
          <w:color w:val="auto"/>
        </w:rPr>
        <w:t>cobran relevancia por lo siguiente.</w:t>
      </w:r>
      <w:r w:rsidR="00A375EC" w:rsidRPr="00A375EC">
        <w:rPr>
          <w:rFonts w:ascii="Century Gothic" w:eastAsia="Calibri" w:hAnsi="Century Gothic" w:cs="Arial"/>
          <w:color w:val="auto"/>
        </w:rPr>
        <w:t xml:space="preserve"> </w:t>
      </w:r>
    </w:p>
    <w:p w14:paraId="0377299E" w14:textId="77777777" w:rsidR="00A375EC" w:rsidRPr="00A375EC" w:rsidRDefault="00A375EC" w:rsidP="0078432D">
      <w:pPr>
        <w:pStyle w:val="Normal1"/>
        <w:spacing w:line="360" w:lineRule="auto"/>
        <w:ind w:right="51"/>
        <w:contextualSpacing/>
        <w:jc w:val="both"/>
        <w:rPr>
          <w:rFonts w:ascii="Century Gothic" w:eastAsia="Calibri" w:hAnsi="Century Gothic" w:cs="Arial"/>
          <w:color w:val="auto"/>
        </w:rPr>
      </w:pPr>
    </w:p>
    <w:p w14:paraId="0D843A44" w14:textId="2BB4714E" w:rsidR="00A375EC"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t xml:space="preserve">Sabemos que </w:t>
      </w:r>
      <w:r w:rsidR="00CC382B">
        <w:rPr>
          <w:rFonts w:ascii="Century Gothic" w:eastAsia="Calibri" w:hAnsi="Century Gothic" w:cs="Arial"/>
          <w:color w:val="auto"/>
        </w:rPr>
        <w:t xml:space="preserve">en </w:t>
      </w:r>
      <w:r w:rsidRPr="00A375EC">
        <w:rPr>
          <w:rFonts w:ascii="Century Gothic" w:eastAsia="Calibri" w:hAnsi="Century Gothic" w:cs="Arial"/>
          <w:color w:val="auto"/>
        </w:rPr>
        <w:t xml:space="preserve">este tipo de delitos </w:t>
      </w:r>
      <w:r w:rsidR="00CC382B">
        <w:rPr>
          <w:rFonts w:ascii="Century Gothic" w:eastAsia="Calibri" w:hAnsi="Century Gothic" w:cs="Arial"/>
          <w:color w:val="auto"/>
        </w:rPr>
        <w:t>es</w:t>
      </w:r>
      <w:r w:rsidRPr="00A375EC">
        <w:rPr>
          <w:rFonts w:ascii="Century Gothic" w:eastAsia="Calibri" w:hAnsi="Century Gothic" w:cs="Arial"/>
          <w:color w:val="auto"/>
        </w:rPr>
        <w:t xml:space="preserve"> difícil </w:t>
      </w:r>
      <w:r w:rsidR="00CC382B">
        <w:rPr>
          <w:rFonts w:ascii="Century Gothic" w:eastAsia="Calibri" w:hAnsi="Century Gothic" w:cs="Arial"/>
          <w:color w:val="auto"/>
        </w:rPr>
        <w:t xml:space="preserve">la </w:t>
      </w:r>
      <w:r w:rsidRPr="00A375EC">
        <w:rPr>
          <w:rFonts w:ascii="Century Gothic" w:eastAsia="Calibri" w:hAnsi="Century Gothic" w:cs="Arial"/>
          <w:color w:val="auto"/>
        </w:rPr>
        <w:t>reparación</w:t>
      </w:r>
      <w:r w:rsidR="00CC382B">
        <w:rPr>
          <w:rFonts w:ascii="Century Gothic" w:eastAsia="Calibri" w:hAnsi="Century Gothic" w:cs="Arial"/>
          <w:color w:val="auto"/>
        </w:rPr>
        <w:t xml:space="preserve"> del daño</w:t>
      </w:r>
      <w:r w:rsidRPr="00A375EC">
        <w:rPr>
          <w:rFonts w:ascii="Century Gothic" w:eastAsia="Calibri" w:hAnsi="Century Gothic" w:cs="Arial"/>
          <w:color w:val="auto"/>
        </w:rPr>
        <w:t xml:space="preserve">, y dejan </w:t>
      </w:r>
      <w:r w:rsidR="00CC382B">
        <w:rPr>
          <w:rFonts w:ascii="Century Gothic" w:eastAsia="Calibri" w:hAnsi="Century Gothic" w:cs="Arial"/>
          <w:color w:val="auto"/>
        </w:rPr>
        <w:t>en la</w:t>
      </w:r>
      <w:r w:rsidRPr="00A375EC">
        <w:rPr>
          <w:rFonts w:ascii="Century Gothic" w:eastAsia="Calibri" w:hAnsi="Century Gothic" w:cs="Arial"/>
          <w:color w:val="auto"/>
        </w:rPr>
        <w:t xml:space="preserve"> historia de vida</w:t>
      </w:r>
      <w:r w:rsidR="00CC382B">
        <w:rPr>
          <w:rFonts w:ascii="Century Gothic" w:eastAsia="Calibri" w:hAnsi="Century Gothic" w:cs="Arial"/>
          <w:color w:val="auto"/>
        </w:rPr>
        <w:t xml:space="preserve"> de la víctima</w:t>
      </w:r>
      <w:r w:rsidRPr="00A375EC">
        <w:rPr>
          <w:rFonts w:ascii="Century Gothic" w:eastAsia="Calibri" w:hAnsi="Century Gothic" w:cs="Arial"/>
          <w:color w:val="auto"/>
        </w:rPr>
        <w:t xml:space="preserve"> una marca prácticamente indeleble que con seguridad tendrá un impacto intenso en las posibilidades de gozar en el futuro de autonomía personal</w:t>
      </w:r>
      <w:r w:rsidR="000D47B2">
        <w:rPr>
          <w:rFonts w:ascii="Century Gothic" w:eastAsia="Calibri" w:hAnsi="Century Gothic" w:cs="Arial"/>
          <w:color w:val="auto"/>
        </w:rPr>
        <w:t xml:space="preserve">; ya que se expone públicamente su intimidad sexual. </w:t>
      </w:r>
    </w:p>
    <w:p w14:paraId="2CE6431D" w14:textId="77777777" w:rsidR="00CC382B" w:rsidRPr="00A375EC" w:rsidRDefault="00CC382B" w:rsidP="0078432D">
      <w:pPr>
        <w:pStyle w:val="Normal1"/>
        <w:spacing w:line="360" w:lineRule="auto"/>
        <w:ind w:right="51"/>
        <w:contextualSpacing/>
        <w:jc w:val="both"/>
        <w:rPr>
          <w:rFonts w:ascii="Century Gothic" w:eastAsia="Calibri" w:hAnsi="Century Gothic" w:cs="Arial"/>
          <w:color w:val="auto"/>
        </w:rPr>
      </w:pPr>
    </w:p>
    <w:p w14:paraId="1059605F" w14:textId="2AE4B916" w:rsidR="00CC382B" w:rsidRPr="00CC382B"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t xml:space="preserve">Y actualmente, nuestro sistema punitivo, contempla una agravante cuando el delito se comete en contra </w:t>
      </w:r>
      <w:r w:rsidR="00CC382B" w:rsidRPr="00CC382B">
        <w:rPr>
          <w:rFonts w:ascii="Century Gothic" w:eastAsia="Calibri" w:hAnsi="Century Gothic" w:cs="Arial"/>
          <w:bCs/>
          <w:color w:val="auto"/>
          <w:lang w:val="es-ES_tradnl"/>
        </w:rPr>
        <w:t xml:space="preserve">de una persona menor de catorce años o que no tenga la capacidad de comprender el significado del hecho o que </w:t>
      </w:r>
      <w:r w:rsidR="00CC382B" w:rsidRPr="00CC382B">
        <w:rPr>
          <w:rFonts w:ascii="Century Gothic" w:eastAsia="Calibri" w:hAnsi="Century Gothic" w:cs="Arial"/>
          <w:bCs/>
          <w:color w:val="auto"/>
          <w:lang w:val="es-ES_tradnl"/>
        </w:rPr>
        <w:lastRenderedPageBreak/>
        <w:t>por cualquier causa no pueda resistirlo, a</w:t>
      </w:r>
      <w:r w:rsidR="00C37C12">
        <w:rPr>
          <w:rFonts w:ascii="Century Gothic" w:eastAsia="Calibri" w:hAnsi="Century Gothic" w:cs="Arial"/>
          <w:bCs/>
          <w:color w:val="auto"/>
          <w:lang w:val="es-ES_tradnl"/>
        </w:rPr>
        <w:t>ú</w:t>
      </w:r>
      <w:r w:rsidR="00CC382B" w:rsidRPr="00CC382B">
        <w:rPr>
          <w:rFonts w:ascii="Century Gothic" w:eastAsia="Calibri" w:hAnsi="Century Gothic" w:cs="Arial"/>
          <w:bCs/>
          <w:color w:val="auto"/>
          <w:lang w:val="es-ES_tradnl"/>
        </w:rPr>
        <w:t>n y cuando mediare su consentimiento</w:t>
      </w:r>
      <w:r w:rsidR="00CC382B">
        <w:rPr>
          <w:rFonts w:ascii="Century Gothic" w:eastAsia="Calibri" w:hAnsi="Century Gothic" w:cs="Arial"/>
          <w:bCs/>
          <w:color w:val="auto"/>
          <w:lang w:val="es-ES_tradnl"/>
        </w:rPr>
        <w:t>.</w:t>
      </w:r>
      <w:r w:rsidRPr="00A375EC">
        <w:rPr>
          <w:rFonts w:ascii="Century Gothic" w:eastAsia="Calibri" w:hAnsi="Century Gothic" w:cs="Arial"/>
          <w:color w:val="auto"/>
        </w:rPr>
        <w:t xml:space="preserve"> </w:t>
      </w:r>
      <w:r w:rsidR="00CC382B">
        <w:rPr>
          <w:rFonts w:ascii="Century Gothic" w:eastAsia="Calibri" w:hAnsi="Century Gothic" w:cs="Arial"/>
          <w:color w:val="auto"/>
        </w:rPr>
        <w:t>P</w:t>
      </w:r>
      <w:r w:rsidRPr="00A375EC">
        <w:rPr>
          <w:rFonts w:ascii="Century Gothic" w:eastAsia="Calibri" w:hAnsi="Century Gothic" w:cs="Arial"/>
          <w:color w:val="auto"/>
        </w:rPr>
        <w:t>ero esa agravante, permite, de acuerdo al</w:t>
      </w:r>
      <w:r w:rsidR="00CC382B">
        <w:rPr>
          <w:rFonts w:ascii="Century Gothic" w:eastAsia="Calibri" w:hAnsi="Century Gothic" w:cs="Arial"/>
          <w:color w:val="auto"/>
        </w:rPr>
        <w:t xml:space="preserve"> Código Nacional de Procedimientos Penales, </w:t>
      </w:r>
      <w:r w:rsidRPr="00A375EC">
        <w:rPr>
          <w:rFonts w:ascii="Century Gothic" w:eastAsia="Calibri" w:hAnsi="Century Gothic" w:cs="Arial"/>
          <w:color w:val="auto"/>
        </w:rPr>
        <w:t xml:space="preserve">la procedencia de la Suspensión </w:t>
      </w:r>
      <w:r w:rsidR="00CC382B">
        <w:rPr>
          <w:rFonts w:ascii="Century Gothic" w:eastAsia="Calibri" w:hAnsi="Century Gothic" w:cs="Arial"/>
          <w:color w:val="auto"/>
        </w:rPr>
        <w:t>C</w:t>
      </w:r>
      <w:r w:rsidRPr="00A375EC">
        <w:rPr>
          <w:rFonts w:ascii="Century Gothic" w:eastAsia="Calibri" w:hAnsi="Century Gothic" w:cs="Arial"/>
          <w:color w:val="auto"/>
        </w:rPr>
        <w:t>ondicional</w:t>
      </w:r>
      <w:r w:rsidR="00CC382B">
        <w:rPr>
          <w:rFonts w:ascii="Century Gothic" w:eastAsia="Calibri" w:hAnsi="Century Gothic" w:cs="Arial"/>
          <w:color w:val="auto"/>
        </w:rPr>
        <w:t xml:space="preserve"> del Proceso</w:t>
      </w:r>
      <w:r w:rsidRPr="00A375EC">
        <w:rPr>
          <w:rFonts w:ascii="Century Gothic" w:eastAsia="Calibri" w:hAnsi="Century Gothic" w:cs="Arial"/>
          <w:color w:val="auto"/>
        </w:rPr>
        <w:t>,</w:t>
      </w:r>
      <w:r w:rsidR="00CC382B">
        <w:rPr>
          <w:rFonts w:ascii="Century Gothic" w:eastAsia="Calibri" w:hAnsi="Century Gothic" w:cs="Arial"/>
          <w:color w:val="auto"/>
        </w:rPr>
        <w:t xml:space="preserve"> debido a que, de acuerdo a la fracción I del artículo 192, la salida alterna procedería cuando </w:t>
      </w:r>
      <w:r w:rsidR="00CC382B" w:rsidRPr="00CC382B">
        <w:rPr>
          <w:rFonts w:ascii="Century Gothic" w:eastAsia="Calibri" w:hAnsi="Century Gothic" w:cs="Arial"/>
          <w:i/>
          <w:iCs/>
          <w:color w:val="auto"/>
          <w:lang w:val="es-MX"/>
        </w:rPr>
        <w:t>el auto de vinculación a proceso del imputado se haya dictado por un delito cuya media aritmética de la pena de prisión no exceda de cinco años</w:t>
      </w:r>
      <w:r w:rsidR="00CC382B">
        <w:rPr>
          <w:rStyle w:val="Refdenotaalpie"/>
          <w:rFonts w:ascii="Century Gothic" w:eastAsia="Calibri" w:hAnsi="Century Gothic" w:cs="Arial"/>
          <w:color w:val="auto"/>
        </w:rPr>
        <w:footnoteReference w:id="4"/>
      </w:r>
      <w:r w:rsidR="00CC382B">
        <w:rPr>
          <w:rFonts w:ascii="Century Gothic" w:eastAsia="Calibri" w:hAnsi="Century Gothic" w:cs="Arial"/>
          <w:i/>
          <w:iCs/>
          <w:color w:val="auto"/>
          <w:lang w:val="es-MX"/>
        </w:rPr>
        <w:t xml:space="preserve">, </w:t>
      </w:r>
      <w:r w:rsidR="00CC382B">
        <w:rPr>
          <w:rFonts w:ascii="Century Gothic" w:eastAsia="Calibri" w:hAnsi="Century Gothic" w:cs="Arial"/>
          <w:color w:val="auto"/>
          <w:lang w:val="es-MX"/>
        </w:rPr>
        <w:t xml:space="preserve">y si tomamos de referencia la actual pena privativa de libertad </w:t>
      </w:r>
      <w:r w:rsidR="000463DC">
        <w:rPr>
          <w:rFonts w:ascii="Century Gothic" w:eastAsia="Calibri" w:hAnsi="Century Gothic" w:cs="Arial"/>
          <w:color w:val="auto"/>
          <w:lang w:val="es-MX"/>
        </w:rPr>
        <w:t>establecida</w:t>
      </w:r>
      <w:r w:rsidR="00CC382B">
        <w:rPr>
          <w:rFonts w:ascii="Century Gothic" w:eastAsia="Calibri" w:hAnsi="Century Gothic" w:cs="Arial"/>
          <w:color w:val="auto"/>
          <w:lang w:val="es-MX"/>
        </w:rPr>
        <w:t xml:space="preserve"> en el tipo básico y agravante del delito contra la intimidad para el Estado de Chihuahua</w:t>
      </w:r>
      <w:r w:rsidR="000A4DA7">
        <w:rPr>
          <w:rFonts w:ascii="Century Gothic" w:eastAsia="Calibri" w:hAnsi="Century Gothic" w:cs="Arial"/>
          <w:color w:val="auto"/>
          <w:lang w:val="es-MX"/>
        </w:rPr>
        <w:t>,</w:t>
      </w:r>
      <w:r w:rsidR="000463DC">
        <w:rPr>
          <w:rFonts w:ascii="Century Gothic" w:eastAsia="Calibri" w:hAnsi="Century Gothic" w:cs="Arial"/>
          <w:color w:val="auto"/>
          <w:lang w:val="es-MX"/>
        </w:rPr>
        <w:t xml:space="preserve"> en los casos en que las víctimas sean niñas, niños o adolescentes...</w:t>
      </w:r>
      <w:r w:rsidR="000D47B2">
        <w:rPr>
          <w:rFonts w:ascii="Century Gothic" w:eastAsia="Calibri" w:hAnsi="Century Gothic" w:cs="Arial"/>
          <w:color w:val="auto"/>
          <w:lang w:val="es-MX"/>
        </w:rPr>
        <w:t>,</w:t>
      </w:r>
      <w:r w:rsidR="000463DC">
        <w:rPr>
          <w:rFonts w:ascii="Century Gothic" w:eastAsia="Calibri" w:hAnsi="Century Gothic" w:cs="Arial"/>
          <w:color w:val="auto"/>
          <w:lang w:val="es-MX"/>
        </w:rPr>
        <w:t xml:space="preserve"> la </w:t>
      </w:r>
      <w:proofErr w:type="spellStart"/>
      <w:r w:rsidR="000463DC">
        <w:rPr>
          <w:rFonts w:ascii="Century Gothic" w:eastAsia="Calibri" w:hAnsi="Century Gothic" w:cs="Arial"/>
          <w:color w:val="auto"/>
          <w:lang w:val="es-MX"/>
        </w:rPr>
        <w:t>medía</w:t>
      </w:r>
      <w:proofErr w:type="spellEnd"/>
      <w:r w:rsidR="000463DC">
        <w:rPr>
          <w:rFonts w:ascii="Century Gothic" w:eastAsia="Calibri" w:hAnsi="Century Gothic" w:cs="Arial"/>
          <w:color w:val="auto"/>
          <w:lang w:val="es-MX"/>
        </w:rPr>
        <w:t xml:space="preserve"> aritmética sería de 4 años 6 meses, lo que permitiría su procedencia. </w:t>
      </w:r>
      <w:r w:rsidR="00CC382B">
        <w:rPr>
          <w:rFonts w:ascii="Century Gothic" w:eastAsia="Calibri" w:hAnsi="Century Gothic" w:cs="Arial"/>
          <w:color w:val="auto"/>
          <w:lang w:val="es-MX"/>
        </w:rPr>
        <w:t xml:space="preserve"> </w:t>
      </w:r>
    </w:p>
    <w:p w14:paraId="14D486F9" w14:textId="77777777" w:rsidR="00CC382B" w:rsidRDefault="00CC382B" w:rsidP="0078432D">
      <w:pPr>
        <w:pStyle w:val="Normal1"/>
        <w:spacing w:line="360" w:lineRule="auto"/>
        <w:ind w:right="51"/>
        <w:contextualSpacing/>
        <w:jc w:val="both"/>
        <w:rPr>
          <w:rFonts w:ascii="Century Gothic" w:eastAsia="Calibri" w:hAnsi="Century Gothic" w:cs="Arial"/>
          <w:color w:val="auto"/>
        </w:rPr>
      </w:pPr>
    </w:p>
    <w:p w14:paraId="3B808C85" w14:textId="322794AD" w:rsidR="000463DC" w:rsidRDefault="000463DC"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E</w:t>
      </w:r>
      <w:r w:rsidR="00A375EC" w:rsidRPr="00A375EC">
        <w:rPr>
          <w:rFonts w:ascii="Century Gothic" w:eastAsia="Calibri" w:hAnsi="Century Gothic" w:cs="Arial"/>
          <w:color w:val="auto"/>
        </w:rPr>
        <w:t xml:space="preserve">s decir, si seguimos la narrativa de la </w:t>
      </w:r>
      <w:r>
        <w:rPr>
          <w:rFonts w:ascii="Century Gothic" w:eastAsia="Calibri" w:hAnsi="Century Gothic" w:cs="Arial"/>
          <w:color w:val="auto"/>
        </w:rPr>
        <w:t>Suprema Corte de Justicia de la Nación en la</w:t>
      </w:r>
      <w:r w:rsidR="00A375EC" w:rsidRPr="00A375EC">
        <w:rPr>
          <w:rFonts w:ascii="Century Gothic" w:eastAsia="Calibri" w:hAnsi="Century Gothic" w:cs="Arial"/>
          <w:color w:val="auto"/>
        </w:rPr>
        <w:t xml:space="preserve"> jurisprudencia</w:t>
      </w:r>
      <w:r>
        <w:rPr>
          <w:rFonts w:ascii="Century Gothic" w:eastAsia="Calibri" w:hAnsi="Century Gothic" w:cs="Arial"/>
          <w:color w:val="auto"/>
        </w:rPr>
        <w:t xml:space="preserve"> antes mencionada, e</w:t>
      </w:r>
      <w:r w:rsidR="00A375EC" w:rsidRPr="00A375EC">
        <w:rPr>
          <w:rFonts w:ascii="Century Gothic" w:eastAsia="Calibri" w:hAnsi="Century Gothic" w:cs="Arial"/>
          <w:color w:val="auto"/>
        </w:rPr>
        <w:t>stamos permitiendo que las</w:t>
      </w:r>
      <w:r>
        <w:rPr>
          <w:rFonts w:ascii="Century Gothic" w:eastAsia="Calibri" w:hAnsi="Century Gothic" w:cs="Arial"/>
          <w:color w:val="auto"/>
        </w:rPr>
        <w:t xml:space="preserve"> niñas, niños y adolescentes ... </w:t>
      </w:r>
      <w:r w:rsidR="00A375EC" w:rsidRPr="00A375EC">
        <w:rPr>
          <w:rFonts w:ascii="Century Gothic" w:eastAsia="Calibri" w:hAnsi="Century Gothic" w:cs="Arial"/>
          <w:color w:val="auto"/>
        </w:rPr>
        <w:t xml:space="preserve">concilien con su victimario, esto es, les estamos permitido que se sienten a </w:t>
      </w:r>
      <w:r>
        <w:rPr>
          <w:rFonts w:ascii="Century Gothic" w:eastAsia="Calibri" w:hAnsi="Century Gothic" w:cs="Arial"/>
          <w:color w:val="auto"/>
        </w:rPr>
        <w:t>“</w:t>
      </w:r>
      <w:r w:rsidR="00A375EC" w:rsidRPr="00A375EC">
        <w:rPr>
          <w:rFonts w:ascii="Century Gothic" w:eastAsia="Calibri" w:hAnsi="Century Gothic" w:cs="Arial"/>
          <w:color w:val="auto"/>
        </w:rPr>
        <w:t>negociar</w:t>
      </w:r>
      <w:r>
        <w:rPr>
          <w:rFonts w:ascii="Century Gothic" w:eastAsia="Calibri" w:hAnsi="Century Gothic" w:cs="Arial"/>
          <w:color w:val="auto"/>
        </w:rPr>
        <w:t>” de acuerdo a sus intereses</w:t>
      </w:r>
      <w:r w:rsidR="00A375EC" w:rsidRPr="00A375EC">
        <w:rPr>
          <w:rFonts w:ascii="Century Gothic" w:eastAsia="Calibri" w:hAnsi="Century Gothic" w:cs="Arial"/>
          <w:color w:val="auto"/>
        </w:rPr>
        <w:t xml:space="preserve">, cuando </w:t>
      </w:r>
      <w:r>
        <w:rPr>
          <w:rFonts w:ascii="Century Gothic" w:eastAsia="Calibri" w:hAnsi="Century Gothic" w:cs="Arial"/>
          <w:color w:val="auto"/>
        </w:rPr>
        <w:t>con</w:t>
      </w:r>
      <w:r w:rsidR="00A375EC" w:rsidRPr="00A375EC">
        <w:rPr>
          <w:rFonts w:ascii="Century Gothic" w:eastAsia="Calibri" w:hAnsi="Century Gothic" w:cs="Arial"/>
          <w:color w:val="auto"/>
        </w:rPr>
        <w:t xml:space="preserve"> la</w:t>
      </w:r>
      <w:r>
        <w:rPr>
          <w:rFonts w:ascii="Century Gothic" w:eastAsia="Calibri" w:hAnsi="Century Gothic" w:cs="Arial"/>
          <w:color w:val="auto"/>
        </w:rPr>
        <w:t xml:space="preserve"> Acción de Inconstitucionalidad </w:t>
      </w:r>
      <w:r w:rsidR="00A375EC" w:rsidRPr="00A375EC">
        <w:rPr>
          <w:rFonts w:ascii="Century Gothic" w:eastAsia="Calibri" w:hAnsi="Century Gothic" w:cs="Arial"/>
          <w:color w:val="auto"/>
        </w:rPr>
        <w:t>39/2015</w:t>
      </w:r>
      <w:r>
        <w:rPr>
          <w:rFonts w:ascii="Century Gothic" w:eastAsia="Calibri" w:hAnsi="Century Gothic" w:cs="Arial"/>
          <w:color w:val="auto"/>
        </w:rPr>
        <w:t>,</w:t>
      </w:r>
      <w:r w:rsidR="00A375EC" w:rsidRPr="00A375EC">
        <w:rPr>
          <w:rFonts w:ascii="Century Gothic" w:eastAsia="Calibri" w:hAnsi="Century Gothic" w:cs="Arial"/>
          <w:color w:val="auto"/>
        </w:rPr>
        <w:t xml:space="preserve"> sabemos que hay conductas que imposibilitan </w:t>
      </w:r>
      <w:r>
        <w:rPr>
          <w:rFonts w:ascii="Century Gothic" w:eastAsia="Calibri" w:hAnsi="Century Gothic" w:cs="Arial"/>
          <w:color w:val="auto"/>
        </w:rPr>
        <w:t xml:space="preserve">a las niñas, niños y adolescentes </w:t>
      </w:r>
      <w:r w:rsidR="00A375EC" w:rsidRPr="00A375EC">
        <w:rPr>
          <w:rFonts w:ascii="Century Gothic" w:eastAsia="Calibri" w:hAnsi="Century Gothic" w:cs="Arial"/>
          <w:color w:val="auto"/>
        </w:rPr>
        <w:t>de gozar en el futuro</w:t>
      </w:r>
      <w:r w:rsidR="000D47B2">
        <w:rPr>
          <w:rFonts w:ascii="Century Gothic" w:eastAsia="Calibri" w:hAnsi="Century Gothic" w:cs="Arial"/>
          <w:color w:val="auto"/>
        </w:rPr>
        <w:t>,</w:t>
      </w:r>
      <w:r w:rsidR="00A375EC" w:rsidRPr="00A375EC">
        <w:rPr>
          <w:rFonts w:ascii="Century Gothic" w:eastAsia="Calibri" w:hAnsi="Century Gothic" w:cs="Arial"/>
          <w:color w:val="auto"/>
        </w:rPr>
        <w:t xml:space="preserve"> de autonomía personal</w:t>
      </w:r>
      <w:r w:rsidR="000D47B2">
        <w:rPr>
          <w:rFonts w:ascii="Century Gothic" w:eastAsia="Calibri" w:hAnsi="Century Gothic" w:cs="Arial"/>
          <w:color w:val="auto"/>
        </w:rPr>
        <w:t>, en virtud de la conducta lesiva que deja en su historia de vida una marca prácticamente indeleble</w:t>
      </w:r>
      <w:r w:rsidR="00A375EC" w:rsidRPr="00A375EC">
        <w:rPr>
          <w:rFonts w:ascii="Century Gothic" w:eastAsia="Calibri" w:hAnsi="Century Gothic" w:cs="Arial"/>
          <w:color w:val="auto"/>
        </w:rPr>
        <w:t xml:space="preserve">, </w:t>
      </w:r>
      <w:r w:rsidR="000D47B2">
        <w:rPr>
          <w:rFonts w:ascii="Century Gothic" w:eastAsia="Calibri" w:hAnsi="Century Gothic" w:cs="Arial"/>
          <w:color w:val="auto"/>
        </w:rPr>
        <w:t>obligando</w:t>
      </w:r>
      <w:r w:rsidR="00A375EC" w:rsidRPr="00A375EC">
        <w:rPr>
          <w:rFonts w:ascii="Century Gothic" w:eastAsia="Calibri" w:hAnsi="Century Gothic" w:cs="Arial"/>
          <w:color w:val="auto"/>
        </w:rPr>
        <w:t xml:space="preserve"> al Estado a actuar en tutela de estos derechos. </w:t>
      </w:r>
    </w:p>
    <w:p w14:paraId="08C5098D" w14:textId="77777777" w:rsidR="00A375EC" w:rsidRPr="00A375EC" w:rsidRDefault="00A375EC" w:rsidP="0078432D">
      <w:pPr>
        <w:pStyle w:val="Normal1"/>
        <w:spacing w:line="360" w:lineRule="auto"/>
        <w:ind w:right="51"/>
        <w:contextualSpacing/>
        <w:jc w:val="both"/>
        <w:rPr>
          <w:rFonts w:ascii="Century Gothic" w:eastAsia="Calibri" w:hAnsi="Century Gothic" w:cs="Arial"/>
          <w:color w:val="auto"/>
        </w:rPr>
      </w:pPr>
    </w:p>
    <w:p w14:paraId="6B0E6FED" w14:textId="2E050620" w:rsidR="000A4DA7" w:rsidRDefault="00A375EC" w:rsidP="0078432D">
      <w:pPr>
        <w:pStyle w:val="Normal1"/>
        <w:spacing w:line="360" w:lineRule="auto"/>
        <w:ind w:right="51"/>
        <w:contextualSpacing/>
        <w:jc w:val="both"/>
        <w:rPr>
          <w:rFonts w:ascii="Century Gothic" w:eastAsia="Calibri" w:hAnsi="Century Gothic" w:cs="Arial"/>
          <w:color w:val="auto"/>
        </w:rPr>
      </w:pPr>
      <w:r w:rsidRPr="00A375EC">
        <w:rPr>
          <w:rFonts w:ascii="Century Gothic" w:eastAsia="Calibri" w:hAnsi="Century Gothic" w:cs="Arial"/>
          <w:color w:val="auto"/>
        </w:rPr>
        <w:lastRenderedPageBreak/>
        <w:t xml:space="preserve">Por ello y siguiendo la vertiente </w:t>
      </w:r>
      <w:r w:rsidR="000A4DA7">
        <w:rPr>
          <w:rFonts w:ascii="Century Gothic" w:eastAsia="Calibri" w:hAnsi="Century Gothic" w:cs="Arial"/>
          <w:color w:val="auto"/>
        </w:rPr>
        <w:t xml:space="preserve">que ha tenido esta Comisión de Dictamen, respecto a la </w:t>
      </w:r>
      <w:r w:rsidRPr="00A375EC">
        <w:rPr>
          <w:rFonts w:ascii="Century Gothic" w:eastAsia="Calibri" w:hAnsi="Century Gothic" w:cs="Arial"/>
          <w:color w:val="auto"/>
        </w:rPr>
        <w:t xml:space="preserve">protección a los derechos de las </w:t>
      </w:r>
      <w:r w:rsidR="000A4DA7">
        <w:rPr>
          <w:rFonts w:ascii="Century Gothic" w:eastAsia="Calibri" w:hAnsi="Century Gothic" w:cs="Arial"/>
          <w:color w:val="auto"/>
        </w:rPr>
        <w:t xml:space="preserve">niñas, niños y adolescentes, de aquellas personas que no tienen la capacidad de comprender el acto o que por cualquier motivo no pueden resistirlo, </w:t>
      </w:r>
      <w:r w:rsidRPr="00A375EC">
        <w:rPr>
          <w:rFonts w:ascii="Century Gothic" w:eastAsia="Calibri" w:hAnsi="Century Gothic" w:cs="Arial"/>
          <w:color w:val="auto"/>
        </w:rPr>
        <w:t xml:space="preserve">es que se propone aumentar 1 año la </w:t>
      </w:r>
      <w:r w:rsidR="000A4DA7">
        <w:rPr>
          <w:rFonts w:ascii="Century Gothic" w:eastAsia="Calibri" w:hAnsi="Century Gothic" w:cs="Arial"/>
          <w:color w:val="auto"/>
        </w:rPr>
        <w:t xml:space="preserve">pena privativa de libertad </w:t>
      </w:r>
      <w:r w:rsidRPr="00A375EC">
        <w:rPr>
          <w:rFonts w:ascii="Century Gothic" w:eastAsia="Calibri" w:hAnsi="Century Gothic" w:cs="Arial"/>
          <w:color w:val="auto"/>
        </w:rPr>
        <w:t>mínima en el</w:t>
      </w:r>
      <w:r w:rsidR="000A4DA7">
        <w:rPr>
          <w:rFonts w:ascii="Century Gothic" w:eastAsia="Calibri" w:hAnsi="Century Gothic" w:cs="Arial"/>
          <w:color w:val="auto"/>
        </w:rPr>
        <w:t xml:space="preserve"> tipo básico del</w:t>
      </w:r>
      <w:r w:rsidRPr="00A375EC">
        <w:rPr>
          <w:rFonts w:ascii="Century Gothic" w:eastAsia="Calibri" w:hAnsi="Century Gothic" w:cs="Arial"/>
          <w:color w:val="auto"/>
        </w:rPr>
        <w:t xml:space="preserve"> delito</w:t>
      </w:r>
      <w:r w:rsidR="000A4DA7">
        <w:rPr>
          <w:rFonts w:ascii="Century Gothic" w:eastAsia="Calibri" w:hAnsi="Century Gothic" w:cs="Arial"/>
          <w:color w:val="auto"/>
        </w:rPr>
        <w:t xml:space="preserve"> contra la intimidad</w:t>
      </w:r>
      <w:r w:rsidRPr="00A375EC">
        <w:rPr>
          <w:rFonts w:ascii="Century Gothic" w:eastAsia="Calibri" w:hAnsi="Century Gothic" w:cs="Arial"/>
          <w:color w:val="auto"/>
        </w:rPr>
        <w:t xml:space="preserve"> y est</w:t>
      </w:r>
      <w:r w:rsidR="000A4DA7">
        <w:rPr>
          <w:rFonts w:ascii="Century Gothic" w:eastAsia="Calibri" w:hAnsi="Century Gothic" w:cs="Arial"/>
          <w:color w:val="auto"/>
        </w:rPr>
        <w:t>á</w:t>
      </w:r>
      <w:r w:rsidRPr="00A375EC">
        <w:rPr>
          <w:rFonts w:ascii="Century Gothic" w:eastAsia="Calibri" w:hAnsi="Century Gothic" w:cs="Arial"/>
          <w:color w:val="auto"/>
        </w:rPr>
        <w:t xml:space="preserve"> impactaría en la agravante superando la media aritmética de 5 años (requisito de procedencia  para la condicional) aunado a que de acuerdo al ar</w:t>
      </w:r>
      <w:r w:rsidR="000A4DA7">
        <w:rPr>
          <w:rFonts w:ascii="Century Gothic" w:eastAsia="Calibri" w:hAnsi="Century Gothic" w:cs="Arial"/>
          <w:color w:val="auto"/>
        </w:rPr>
        <w:t xml:space="preserve">tículo </w:t>
      </w:r>
      <w:r w:rsidRPr="00A375EC">
        <w:rPr>
          <w:rFonts w:ascii="Century Gothic" w:eastAsia="Calibri" w:hAnsi="Century Gothic" w:cs="Arial"/>
          <w:color w:val="auto"/>
        </w:rPr>
        <w:t xml:space="preserve">98 </w:t>
      </w:r>
      <w:r w:rsidR="000A4DA7">
        <w:rPr>
          <w:rFonts w:ascii="Century Gothic" w:eastAsia="Calibri" w:hAnsi="Century Gothic" w:cs="Arial"/>
          <w:color w:val="auto"/>
        </w:rPr>
        <w:t xml:space="preserve">del Código Penal del Estado de Chihuahua, </w:t>
      </w:r>
      <w:r w:rsidR="000D47B2">
        <w:rPr>
          <w:rFonts w:ascii="Century Gothic" w:eastAsia="Calibri" w:hAnsi="Century Gothic" w:cs="Arial"/>
          <w:color w:val="auto"/>
        </w:rPr>
        <w:t>esta</w:t>
      </w:r>
      <w:r w:rsidR="000A4DA7">
        <w:rPr>
          <w:rFonts w:ascii="Century Gothic" w:eastAsia="Calibri" w:hAnsi="Century Gothic" w:cs="Arial"/>
          <w:color w:val="auto"/>
        </w:rPr>
        <w:t xml:space="preserve"> conducta agravada es perseguida de oficio (lo cual cierra la puerta a que procedan bajo esta hipótesis los acuerdos reparatorios).</w:t>
      </w:r>
    </w:p>
    <w:p w14:paraId="35BB20C1" w14:textId="77777777" w:rsidR="000A4DA7" w:rsidRDefault="000A4DA7" w:rsidP="0078432D">
      <w:pPr>
        <w:pStyle w:val="Normal1"/>
        <w:spacing w:line="360" w:lineRule="auto"/>
        <w:ind w:right="51"/>
        <w:contextualSpacing/>
        <w:jc w:val="both"/>
        <w:rPr>
          <w:rFonts w:ascii="Century Gothic" w:eastAsia="Calibri" w:hAnsi="Century Gothic" w:cs="Arial"/>
          <w:color w:val="auto"/>
        </w:rPr>
      </w:pPr>
    </w:p>
    <w:p w14:paraId="0A0C1462" w14:textId="04C54854" w:rsidR="00A375EC" w:rsidRPr="00A375EC" w:rsidRDefault="000A4DA7" w:rsidP="0078432D">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Es por todo lo anterior que está Comisión de Dictamen Legislativo, propone aumentar la pena mínima en el tipo básico del delito contra la intimidad, con la intención de que incida en los requisitos de procedencia de la suspensión condicional y con ello, </w:t>
      </w:r>
      <w:r w:rsidR="00C37C12">
        <w:rPr>
          <w:rFonts w:ascii="Century Gothic" w:eastAsia="Calibri" w:hAnsi="Century Gothic" w:cs="Arial"/>
          <w:color w:val="auto"/>
        </w:rPr>
        <w:t xml:space="preserve">prevengamos la posible doble victimización de niñas, niños y adolescentes ..., al permitirle al victimario conciliar de acuerdo a sus intereses. </w:t>
      </w:r>
      <w:r>
        <w:rPr>
          <w:rFonts w:ascii="Century Gothic" w:eastAsia="Calibri" w:hAnsi="Century Gothic" w:cs="Arial"/>
          <w:color w:val="auto"/>
        </w:rPr>
        <w:t xml:space="preserve"> </w:t>
      </w:r>
    </w:p>
    <w:p w14:paraId="0C76A2E3" w14:textId="77777777" w:rsidR="00A375EC" w:rsidRPr="00A375EC" w:rsidRDefault="00A375EC" w:rsidP="0078432D">
      <w:pPr>
        <w:pStyle w:val="Normal1"/>
        <w:spacing w:line="360" w:lineRule="auto"/>
        <w:ind w:right="51"/>
        <w:contextualSpacing/>
        <w:jc w:val="both"/>
        <w:rPr>
          <w:rFonts w:ascii="Century Gothic" w:eastAsia="Calibri" w:hAnsi="Century Gothic" w:cs="Arial"/>
          <w:color w:val="auto"/>
        </w:rPr>
      </w:pPr>
    </w:p>
    <w:p w14:paraId="545EF54C" w14:textId="62F8D3D0" w:rsidR="003B39DE" w:rsidRDefault="00C37C12" w:rsidP="00C37C12">
      <w:pPr>
        <w:pStyle w:val="Normal1"/>
        <w:spacing w:line="360" w:lineRule="auto"/>
        <w:ind w:right="51"/>
        <w:contextualSpacing/>
        <w:jc w:val="both"/>
        <w:rPr>
          <w:rFonts w:ascii="Century Gothic" w:hAnsi="Century Gothic" w:cs="Arial"/>
          <w:bCs/>
        </w:rPr>
      </w:pPr>
      <w:r w:rsidRPr="00C37C12">
        <w:rPr>
          <w:rFonts w:ascii="Century Gothic" w:eastAsia="Calibri" w:hAnsi="Century Gothic" w:cs="Arial"/>
          <w:b/>
          <w:bCs/>
          <w:color w:val="auto"/>
        </w:rPr>
        <w:t xml:space="preserve">V.- </w:t>
      </w:r>
      <w:r w:rsidR="003B39DE" w:rsidRPr="003B39DE">
        <w:rPr>
          <w:rFonts w:ascii="Century Gothic" w:hAnsi="Century Gothic" w:cs="Arial"/>
          <w:bCs/>
        </w:rPr>
        <w:t xml:space="preserve">En base a todo lo expuesto, </w:t>
      </w:r>
      <w:r w:rsidR="00AB22F5">
        <w:rPr>
          <w:rFonts w:ascii="Century Gothic" w:hAnsi="Century Gothic" w:cs="Arial"/>
          <w:bCs/>
        </w:rPr>
        <w:t xml:space="preserve">y </w:t>
      </w:r>
      <w:r w:rsidR="003B39DE" w:rsidRPr="003B39DE">
        <w:rPr>
          <w:rFonts w:ascii="Century Gothic" w:hAnsi="Century Gothic" w:cs="Arial"/>
          <w:bCs/>
        </w:rPr>
        <w:t>haciendo constar que no existi</w:t>
      </w:r>
      <w:r w:rsidR="001A33C3">
        <w:rPr>
          <w:rFonts w:ascii="Century Gothic" w:hAnsi="Century Gothic" w:cs="Arial"/>
          <w:bCs/>
        </w:rPr>
        <w:t>eron</w:t>
      </w:r>
      <w:r w:rsidR="003B39DE" w:rsidRPr="003B39DE">
        <w:rPr>
          <w:rFonts w:ascii="Century Gothic" w:hAnsi="Century Gothic" w:cs="Arial"/>
          <w:bCs/>
        </w:rPr>
        <w:t xml:space="preserve"> propuesta</w:t>
      </w:r>
      <w:r w:rsidR="001A33C3">
        <w:rPr>
          <w:rFonts w:ascii="Century Gothic" w:hAnsi="Century Gothic" w:cs="Arial"/>
          <w:bCs/>
        </w:rPr>
        <w:t>s</w:t>
      </w:r>
      <w:r w:rsidR="003B39DE" w:rsidRPr="003B39DE">
        <w:rPr>
          <w:rFonts w:ascii="Century Gothic" w:hAnsi="Century Gothic" w:cs="Arial"/>
          <w:bCs/>
        </w:rPr>
        <w:t xml:space="preserve"> u </w:t>
      </w:r>
      <w:r w:rsidR="001A33C3" w:rsidRPr="003B39DE">
        <w:rPr>
          <w:rFonts w:ascii="Century Gothic" w:hAnsi="Century Gothic" w:cs="Arial"/>
          <w:bCs/>
        </w:rPr>
        <w:t>opinion</w:t>
      </w:r>
      <w:r w:rsidR="001A33C3">
        <w:rPr>
          <w:rFonts w:ascii="Century Gothic" w:hAnsi="Century Gothic" w:cs="Arial"/>
          <w:bCs/>
        </w:rPr>
        <w:t>es</w:t>
      </w:r>
      <w:r w:rsidR="00D85130">
        <w:rPr>
          <w:rFonts w:ascii="Century Gothic" w:hAnsi="Century Gothic" w:cs="Arial"/>
          <w:bCs/>
        </w:rPr>
        <w:t xml:space="preserve"> de la iniciativa de mérito</w:t>
      </w:r>
      <w:r w:rsidR="003B39DE" w:rsidRPr="003B39DE">
        <w:rPr>
          <w:rFonts w:ascii="Century Gothic" w:hAnsi="Century Gothic" w:cs="Arial"/>
          <w:bCs/>
        </w:rPr>
        <w:t xml:space="preserve"> a través del Buzón Legislativo Ciudadano, las diputadas y diputados que integramos la Comisión de Justicia, sometemos a la consideración del Pleno el siguiente proyecto de:</w:t>
      </w:r>
    </w:p>
    <w:p w14:paraId="10366425" w14:textId="77777777" w:rsidR="003B39DE" w:rsidRDefault="003B39DE" w:rsidP="00642479">
      <w:pPr>
        <w:spacing w:line="360" w:lineRule="auto"/>
        <w:ind w:right="335"/>
        <w:jc w:val="both"/>
        <w:rPr>
          <w:rFonts w:ascii="Century Gothic" w:hAnsi="Century Gothic" w:cs="Arial"/>
          <w:bCs/>
        </w:rPr>
      </w:pPr>
    </w:p>
    <w:p w14:paraId="5CCB313F" w14:textId="77777777" w:rsidR="007D7C04" w:rsidRDefault="007D7C04" w:rsidP="00642479">
      <w:pPr>
        <w:spacing w:line="360" w:lineRule="auto"/>
        <w:ind w:right="332"/>
        <w:jc w:val="center"/>
        <w:rPr>
          <w:rFonts w:ascii="Century Gothic" w:hAnsi="Century Gothic"/>
          <w:b/>
          <w:bCs/>
          <w:spacing w:val="20"/>
          <w:sz w:val="28"/>
        </w:rPr>
      </w:pPr>
      <w:bookmarkStart w:id="3" w:name="_Hlk152588726"/>
    </w:p>
    <w:p w14:paraId="32412639" w14:textId="77777777" w:rsidR="007D7C04" w:rsidRDefault="007D7C04" w:rsidP="00642479">
      <w:pPr>
        <w:spacing w:line="360" w:lineRule="auto"/>
        <w:ind w:right="332"/>
        <w:jc w:val="center"/>
        <w:rPr>
          <w:rFonts w:ascii="Century Gothic" w:hAnsi="Century Gothic"/>
          <w:b/>
          <w:bCs/>
          <w:spacing w:val="20"/>
          <w:sz w:val="28"/>
        </w:rPr>
      </w:pPr>
    </w:p>
    <w:p w14:paraId="4DA93F53" w14:textId="7A2D2DC0" w:rsidR="00642479" w:rsidRPr="00295EDE" w:rsidRDefault="00642479" w:rsidP="00642479">
      <w:pPr>
        <w:spacing w:line="360" w:lineRule="auto"/>
        <w:ind w:right="332"/>
        <w:jc w:val="center"/>
        <w:rPr>
          <w:rFonts w:ascii="Century Gothic" w:hAnsi="Century Gothic"/>
          <w:b/>
          <w:bCs/>
          <w:spacing w:val="20"/>
          <w:sz w:val="28"/>
        </w:rPr>
      </w:pPr>
      <w:r w:rsidRPr="00295EDE">
        <w:rPr>
          <w:rFonts w:ascii="Century Gothic" w:hAnsi="Century Gothic"/>
          <w:b/>
          <w:bCs/>
          <w:spacing w:val="20"/>
          <w:sz w:val="28"/>
        </w:rPr>
        <w:lastRenderedPageBreak/>
        <w:t>DECRETO</w:t>
      </w:r>
    </w:p>
    <w:p w14:paraId="36F7C439" w14:textId="43641541" w:rsidR="008E1E41" w:rsidRDefault="00642479" w:rsidP="00642479">
      <w:pPr>
        <w:pStyle w:val="Normal1"/>
        <w:spacing w:after="200" w:line="360" w:lineRule="auto"/>
        <w:ind w:right="50"/>
        <w:contextualSpacing/>
        <w:jc w:val="both"/>
        <w:rPr>
          <w:rFonts w:ascii="Century Gothic" w:hAnsi="Century Gothic"/>
        </w:rPr>
      </w:pPr>
      <w:r w:rsidRPr="00295EDE">
        <w:rPr>
          <w:rFonts w:ascii="Century Gothic" w:hAnsi="Century Gothic"/>
          <w:b/>
          <w:bCs/>
          <w:sz w:val="28"/>
        </w:rPr>
        <w:t xml:space="preserve">ARTÍCULO </w:t>
      </w:r>
      <w:proofErr w:type="gramStart"/>
      <w:r w:rsidR="00C37C12">
        <w:rPr>
          <w:rFonts w:ascii="Century Gothic" w:hAnsi="Century Gothic"/>
          <w:b/>
          <w:bCs/>
          <w:sz w:val="28"/>
        </w:rPr>
        <w:t>ÚNICO</w:t>
      </w:r>
      <w:r w:rsidRPr="00295EDE">
        <w:rPr>
          <w:rFonts w:ascii="Century Gothic" w:hAnsi="Century Gothic"/>
          <w:b/>
          <w:bCs/>
          <w:sz w:val="28"/>
        </w:rPr>
        <w:t>.-</w:t>
      </w:r>
      <w:proofErr w:type="gramEnd"/>
      <w:r w:rsidRPr="00295EDE">
        <w:rPr>
          <w:rFonts w:ascii="Century Gothic" w:hAnsi="Century Gothic"/>
          <w:b/>
          <w:bCs/>
          <w:sz w:val="28"/>
        </w:rPr>
        <w:t xml:space="preserve"> </w:t>
      </w:r>
      <w:r w:rsidR="009E7368" w:rsidRPr="009E7368">
        <w:rPr>
          <w:rFonts w:ascii="Century Gothic" w:hAnsi="Century Gothic"/>
        </w:rPr>
        <w:t>Se</w:t>
      </w:r>
      <w:r w:rsidR="00295EDE">
        <w:rPr>
          <w:rFonts w:ascii="Century Gothic" w:hAnsi="Century Gothic"/>
        </w:rPr>
        <w:t xml:space="preserve"> </w:t>
      </w:r>
      <w:r w:rsidR="00295EDE" w:rsidRPr="0055489F">
        <w:rPr>
          <w:rFonts w:ascii="Century Gothic" w:hAnsi="Century Gothic"/>
          <w:b/>
          <w:bCs/>
        </w:rPr>
        <w:t xml:space="preserve">REFORMA </w:t>
      </w:r>
      <w:r w:rsidR="009E7368" w:rsidRPr="009E7368">
        <w:rPr>
          <w:rFonts w:ascii="Century Gothic" w:hAnsi="Century Gothic"/>
        </w:rPr>
        <w:t xml:space="preserve">el artículo </w:t>
      </w:r>
      <w:r w:rsidR="00C37C12">
        <w:rPr>
          <w:rFonts w:ascii="Century Gothic" w:hAnsi="Century Gothic"/>
        </w:rPr>
        <w:t xml:space="preserve">180 </w:t>
      </w:r>
      <w:r w:rsidR="00076680">
        <w:rPr>
          <w:rFonts w:ascii="Century Gothic" w:hAnsi="Century Gothic"/>
        </w:rPr>
        <w:t>B</w:t>
      </w:r>
      <w:r w:rsidR="00C37C12">
        <w:rPr>
          <w:rFonts w:ascii="Century Gothic" w:hAnsi="Century Gothic"/>
        </w:rPr>
        <w:t>is, párrafo primero</w:t>
      </w:r>
      <w:r w:rsidR="009545FB">
        <w:rPr>
          <w:rFonts w:ascii="Century Gothic" w:hAnsi="Century Gothic"/>
        </w:rPr>
        <w:t>,</w:t>
      </w:r>
      <w:r w:rsidR="00383AE9">
        <w:rPr>
          <w:rFonts w:ascii="Century Gothic" w:hAnsi="Century Gothic"/>
        </w:rPr>
        <w:t xml:space="preserve"> del Código </w:t>
      </w:r>
      <w:r w:rsidR="00C37C12">
        <w:rPr>
          <w:rFonts w:ascii="Century Gothic" w:hAnsi="Century Gothic"/>
        </w:rPr>
        <w:t>Penal</w:t>
      </w:r>
      <w:r w:rsidR="00383AE9">
        <w:rPr>
          <w:rFonts w:ascii="Century Gothic" w:hAnsi="Century Gothic"/>
        </w:rPr>
        <w:t xml:space="preserve"> del Estado de Chihuahua, para quedar redactado de la siguiente manera: </w:t>
      </w:r>
    </w:p>
    <w:p w14:paraId="12D98927" w14:textId="3E6F6254" w:rsidR="00C37C12" w:rsidRDefault="00C37C12" w:rsidP="00642479">
      <w:pPr>
        <w:pStyle w:val="Normal1"/>
        <w:spacing w:after="200" w:line="360" w:lineRule="auto"/>
        <w:ind w:right="50"/>
        <w:contextualSpacing/>
        <w:jc w:val="both"/>
        <w:rPr>
          <w:rFonts w:ascii="Century Gothic" w:hAnsi="Century Gothic"/>
        </w:rPr>
      </w:pPr>
    </w:p>
    <w:p w14:paraId="5E0E137C" w14:textId="77777777" w:rsidR="00C37C12" w:rsidRPr="00C37C12" w:rsidRDefault="00C37C12" w:rsidP="00C37C12">
      <w:pPr>
        <w:pStyle w:val="Normal1"/>
        <w:spacing w:after="200" w:line="360" w:lineRule="auto"/>
        <w:ind w:right="50"/>
        <w:contextualSpacing/>
        <w:jc w:val="both"/>
        <w:rPr>
          <w:rFonts w:ascii="Century Gothic" w:hAnsi="Century Gothic"/>
          <w:b/>
          <w:lang w:val="es-MX"/>
        </w:rPr>
      </w:pPr>
      <w:r w:rsidRPr="00C37C12">
        <w:rPr>
          <w:rFonts w:ascii="Century Gothic" w:hAnsi="Century Gothic"/>
          <w:b/>
          <w:lang w:val="es-MX"/>
        </w:rPr>
        <w:t>Artículo 180 Bis.</w:t>
      </w:r>
    </w:p>
    <w:p w14:paraId="5D0E77AD" w14:textId="71F303FA" w:rsidR="00C37C12" w:rsidRPr="00C37C12" w:rsidRDefault="00C37C12" w:rsidP="00C37C12">
      <w:pPr>
        <w:pStyle w:val="Normal1"/>
        <w:spacing w:after="200" w:line="360" w:lineRule="auto"/>
        <w:ind w:right="50"/>
        <w:contextualSpacing/>
        <w:jc w:val="both"/>
        <w:rPr>
          <w:rFonts w:ascii="Century Gothic" w:hAnsi="Century Gothic"/>
          <w:bCs/>
          <w:lang w:val="es-MX"/>
        </w:rPr>
      </w:pPr>
      <w:r w:rsidRPr="00C37C12">
        <w:rPr>
          <w:rFonts w:ascii="Century Gothic" w:hAnsi="Century Gothic"/>
          <w:bCs/>
          <w:lang w:val="es-MX"/>
        </w:rPr>
        <w:t xml:space="preserve">A quien reciba u obtenga de una persona, imágenes, textos o grabaciones de voz o audiovisuales de contenido erótico o sexual y las revele o difunda sin su consentimiento y en perjuicio de su intimidad, se le impondrá de </w:t>
      </w:r>
      <w:r>
        <w:rPr>
          <w:rFonts w:ascii="Century Gothic" w:hAnsi="Century Gothic"/>
          <w:b/>
          <w:lang w:val="es-MX"/>
        </w:rPr>
        <w:t>dos</w:t>
      </w:r>
      <w:r w:rsidRPr="00C37C12">
        <w:rPr>
          <w:rFonts w:ascii="Century Gothic" w:hAnsi="Century Gothic"/>
          <w:bCs/>
          <w:lang w:val="es-MX"/>
        </w:rPr>
        <w:t xml:space="preserve"> a cinco años de prisión y de cien a doscientos días de multa.</w:t>
      </w:r>
    </w:p>
    <w:p w14:paraId="0F121CD0" w14:textId="77777777" w:rsidR="00C37C12" w:rsidRPr="00C37C12" w:rsidRDefault="00C37C12" w:rsidP="00C37C12">
      <w:pPr>
        <w:pStyle w:val="Normal1"/>
        <w:spacing w:after="200" w:line="360" w:lineRule="auto"/>
        <w:ind w:right="50"/>
        <w:contextualSpacing/>
        <w:jc w:val="both"/>
        <w:rPr>
          <w:rFonts w:ascii="Century Gothic" w:hAnsi="Century Gothic"/>
          <w:bCs/>
          <w:lang w:val="es-ES_tradnl"/>
        </w:rPr>
      </w:pPr>
    </w:p>
    <w:p w14:paraId="44E81FCB" w14:textId="181B3836" w:rsidR="00C37C12" w:rsidRPr="00C37C12" w:rsidRDefault="00C37C12" w:rsidP="00C37C12">
      <w:pPr>
        <w:pStyle w:val="Normal1"/>
        <w:spacing w:after="200" w:line="360" w:lineRule="auto"/>
        <w:ind w:right="50"/>
        <w:contextualSpacing/>
        <w:jc w:val="both"/>
        <w:rPr>
          <w:rFonts w:ascii="Century Gothic" w:hAnsi="Century Gothic"/>
          <w:bCs/>
          <w:lang w:val="es-ES_tradnl"/>
        </w:rPr>
      </w:pPr>
      <w:r>
        <w:rPr>
          <w:rFonts w:ascii="Century Gothic" w:hAnsi="Century Gothic"/>
          <w:bCs/>
          <w:lang w:val="es-ES_tradnl"/>
        </w:rPr>
        <w:t>..</w:t>
      </w:r>
      <w:r w:rsidRPr="00C37C12">
        <w:rPr>
          <w:rFonts w:ascii="Century Gothic" w:hAnsi="Century Gothic"/>
          <w:bCs/>
          <w:lang w:val="es-ES_tradnl"/>
        </w:rPr>
        <w:t xml:space="preserve">. </w:t>
      </w:r>
    </w:p>
    <w:p w14:paraId="18188C7C" w14:textId="77777777" w:rsidR="00C37C12" w:rsidRPr="00C37C12" w:rsidRDefault="00C37C12" w:rsidP="00C37C12">
      <w:pPr>
        <w:pStyle w:val="Normal1"/>
        <w:spacing w:after="200" w:line="360" w:lineRule="auto"/>
        <w:ind w:right="50"/>
        <w:contextualSpacing/>
        <w:jc w:val="both"/>
        <w:rPr>
          <w:rFonts w:ascii="Century Gothic" w:hAnsi="Century Gothic"/>
          <w:bCs/>
          <w:lang w:val="es-ES_tradnl"/>
        </w:rPr>
      </w:pPr>
    </w:p>
    <w:p w14:paraId="521BFD17" w14:textId="42893B70" w:rsidR="00C37C12" w:rsidRDefault="00C37C12" w:rsidP="00C37C12">
      <w:pPr>
        <w:pStyle w:val="Normal1"/>
        <w:spacing w:after="200" w:line="360" w:lineRule="auto"/>
        <w:ind w:right="50"/>
        <w:contextualSpacing/>
        <w:jc w:val="both"/>
        <w:rPr>
          <w:rFonts w:ascii="Century Gothic" w:hAnsi="Century Gothic"/>
        </w:rPr>
      </w:pPr>
      <w:r>
        <w:rPr>
          <w:rFonts w:ascii="Century Gothic" w:hAnsi="Century Gothic"/>
          <w:lang w:val="es-MX"/>
        </w:rPr>
        <w:t>..</w:t>
      </w:r>
      <w:r w:rsidRPr="00C37C12">
        <w:rPr>
          <w:rFonts w:ascii="Century Gothic" w:hAnsi="Century Gothic"/>
          <w:lang w:val="es-MX"/>
        </w:rPr>
        <w:t>.</w:t>
      </w:r>
    </w:p>
    <w:bookmarkEnd w:id="3"/>
    <w:p w14:paraId="0F5B6457" w14:textId="77777777" w:rsidR="000269D4" w:rsidRDefault="000269D4" w:rsidP="000269D4">
      <w:pPr>
        <w:spacing w:line="360" w:lineRule="auto"/>
        <w:ind w:left="567" w:right="48"/>
        <w:jc w:val="center"/>
        <w:rPr>
          <w:rFonts w:ascii="Century Gothic" w:hAnsi="Century Gothic"/>
          <w:b/>
          <w:bCs/>
          <w:spacing w:val="20"/>
          <w:sz w:val="28"/>
          <w:szCs w:val="28"/>
        </w:rPr>
      </w:pPr>
    </w:p>
    <w:p w14:paraId="064D27B2" w14:textId="59988B66" w:rsidR="000269D4" w:rsidRPr="00295EDE" w:rsidRDefault="000269D4" w:rsidP="000269D4">
      <w:pPr>
        <w:spacing w:line="360" w:lineRule="auto"/>
        <w:ind w:left="567" w:right="48"/>
        <w:jc w:val="center"/>
        <w:rPr>
          <w:rFonts w:ascii="Century Gothic" w:hAnsi="Century Gothic"/>
          <w:b/>
          <w:bCs/>
          <w:spacing w:val="20"/>
          <w:sz w:val="28"/>
        </w:rPr>
      </w:pPr>
      <w:r w:rsidRPr="00295EDE">
        <w:rPr>
          <w:rFonts w:ascii="Century Gothic" w:hAnsi="Century Gothic"/>
          <w:b/>
          <w:bCs/>
          <w:spacing w:val="20"/>
          <w:sz w:val="28"/>
        </w:rPr>
        <w:t>TRANSITORIO</w:t>
      </w:r>
    </w:p>
    <w:p w14:paraId="543D9BE2" w14:textId="77777777" w:rsidR="000269D4" w:rsidRPr="00483BD7" w:rsidRDefault="000269D4" w:rsidP="00431220">
      <w:pPr>
        <w:tabs>
          <w:tab w:val="left" w:pos="8080"/>
        </w:tabs>
        <w:spacing w:line="360" w:lineRule="auto"/>
        <w:ind w:right="49"/>
        <w:jc w:val="both"/>
        <w:rPr>
          <w:rFonts w:ascii="Century Gothic" w:hAnsi="Century Gothic"/>
          <w:bCs/>
        </w:rPr>
      </w:pPr>
      <w:r w:rsidRPr="00295EDE">
        <w:rPr>
          <w:rFonts w:ascii="Century Gothic" w:hAnsi="Century Gothic"/>
          <w:b/>
          <w:bCs/>
          <w:sz w:val="28"/>
        </w:rPr>
        <w:t xml:space="preserve">ARTÍCULO </w:t>
      </w:r>
      <w:proofErr w:type="gramStart"/>
      <w:r w:rsidRPr="00295EDE">
        <w:rPr>
          <w:rFonts w:ascii="Century Gothic" w:hAnsi="Century Gothic"/>
          <w:b/>
          <w:bCs/>
          <w:sz w:val="28"/>
        </w:rPr>
        <w:t>ÚNICO.-</w:t>
      </w:r>
      <w:proofErr w:type="gramEnd"/>
      <w:r w:rsidRPr="00295EDE">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0269D4">
      <w:pPr>
        <w:spacing w:line="360" w:lineRule="auto"/>
        <w:ind w:right="332"/>
        <w:jc w:val="both"/>
        <w:rPr>
          <w:rFonts w:ascii="Century Gothic" w:hAnsi="Century Gothic"/>
          <w:bCs/>
          <w:sz w:val="28"/>
          <w:szCs w:val="28"/>
        </w:rPr>
      </w:pPr>
    </w:p>
    <w:p w14:paraId="3206BBDC" w14:textId="418A6D1F" w:rsidR="000269D4" w:rsidRDefault="000269D4" w:rsidP="00431220">
      <w:pPr>
        <w:tabs>
          <w:tab w:val="left" w:pos="8080"/>
        </w:tabs>
        <w:spacing w:line="360" w:lineRule="auto"/>
        <w:ind w:right="49"/>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76890DD5" w14:textId="51FBFA2D" w:rsidR="00295EDE" w:rsidRDefault="00295EDE" w:rsidP="00431220">
      <w:pPr>
        <w:tabs>
          <w:tab w:val="left" w:pos="8080"/>
        </w:tabs>
        <w:spacing w:line="360" w:lineRule="auto"/>
        <w:ind w:right="49"/>
        <w:jc w:val="both"/>
        <w:rPr>
          <w:rFonts w:ascii="Century Gothic" w:hAnsi="Century Gothic"/>
        </w:rPr>
      </w:pPr>
    </w:p>
    <w:p w14:paraId="4AB97A25" w14:textId="77777777" w:rsidR="00295EDE" w:rsidRDefault="00295EDE" w:rsidP="00431220">
      <w:pPr>
        <w:tabs>
          <w:tab w:val="left" w:pos="8080"/>
        </w:tabs>
        <w:spacing w:line="360" w:lineRule="auto"/>
        <w:ind w:right="49"/>
        <w:jc w:val="both"/>
        <w:rPr>
          <w:rFonts w:ascii="Century Gothic" w:hAnsi="Century Gothic"/>
        </w:rPr>
      </w:pPr>
    </w:p>
    <w:p w14:paraId="5F2B985C" w14:textId="6F65A397" w:rsidR="00295EDE" w:rsidRDefault="000269D4" w:rsidP="00431220">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8F1289">
        <w:rPr>
          <w:rFonts w:ascii="Century Gothic" w:hAnsi="Century Gothic"/>
        </w:rPr>
        <w:t>13</w:t>
      </w:r>
      <w:r w:rsidR="00A83430">
        <w:rPr>
          <w:rFonts w:ascii="Century Gothic" w:hAnsi="Century Gothic"/>
        </w:rPr>
        <w:t xml:space="preserve"> </w:t>
      </w:r>
      <w:r w:rsidRPr="006618E1">
        <w:rPr>
          <w:rFonts w:ascii="Century Gothic" w:hAnsi="Century Gothic"/>
        </w:rPr>
        <w:t>días del mes de</w:t>
      </w:r>
      <w:r w:rsidR="001E18F0">
        <w:rPr>
          <w:rFonts w:ascii="Century Gothic" w:hAnsi="Century Gothic"/>
        </w:rPr>
        <w:t xml:space="preserve"> </w:t>
      </w:r>
      <w:r w:rsidR="008F1289">
        <w:rPr>
          <w:rFonts w:ascii="Century Gothic" w:hAnsi="Century Gothic"/>
        </w:rPr>
        <w:t>agosto</w:t>
      </w:r>
      <w:r w:rsidRPr="006618E1">
        <w:rPr>
          <w:rFonts w:ascii="Century Gothic" w:hAnsi="Century Gothic"/>
        </w:rPr>
        <w:t xml:space="preserve"> del año </w:t>
      </w:r>
      <w:r>
        <w:rPr>
          <w:rFonts w:ascii="Century Gothic" w:hAnsi="Century Gothic"/>
        </w:rPr>
        <w:t>202</w:t>
      </w:r>
      <w:r w:rsidR="00B65D5C">
        <w:rPr>
          <w:rFonts w:ascii="Century Gothic" w:hAnsi="Century Gothic"/>
        </w:rPr>
        <w:t>4</w:t>
      </w:r>
      <w:r>
        <w:rPr>
          <w:rFonts w:ascii="Century Gothic" w:hAnsi="Century Gothic"/>
        </w:rPr>
        <w:t>.</w:t>
      </w:r>
    </w:p>
    <w:p w14:paraId="28895AEA" w14:textId="19F9B6ED" w:rsidR="00295EDE" w:rsidRDefault="00295EDE" w:rsidP="00431220">
      <w:pPr>
        <w:tabs>
          <w:tab w:val="left" w:pos="8080"/>
        </w:tabs>
        <w:spacing w:line="360" w:lineRule="auto"/>
        <w:ind w:right="49"/>
        <w:jc w:val="both"/>
        <w:rPr>
          <w:rFonts w:ascii="Century Gothic" w:hAnsi="Century Gothic"/>
        </w:rPr>
      </w:pPr>
    </w:p>
    <w:p w14:paraId="74A3D7C7" w14:textId="77777777" w:rsidR="00295EDE" w:rsidRDefault="00295EDE" w:rsidP="005D6321">
      <w:pPr>
        <w:ind w:right="-94"/>
        <w:rPr>
          <w:rFonts w:ascii="Century Gothic" w:eastAsia="Arial" w:hAnsi="Century Gothic" w:cs="Arial"/>
          <w:b/>
          <w:szCs w:val="20"/>
          <w:lang w:eastAsia="es-MX"/>
        </w:rPr>
      </w:pPr>
    </w:p>
    <w:p w14:paraId="053E836E" w14:textId="3A0B7AAA" w:rsidR="00295EDE" w:rsidRDefault="000269D4" w:rsidP="00295EDE">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 xml:space="preserve">Así lo aprobó la Comisión de Justicia, en la reunión de fecha </w:t>
      </w:r>
      <w:r w:rsidR="00C37C12">
        <w:rPr>
          <w:rFonts w:ascii="Century Gothic" w:eastAsia="Arial" w:hAnsi="Century Gothic" w:cs="Arial"/>
          <w:b/>
          <w:szCs w:val="20"/>
          <w:lang w:eastAsia="es-MX"/>
        </w:rPr>
        <w:t>12</w:t>
      </w:r>
      <w:r w:rsidRPr="00295EDE">
        <w:rPr>
          <w:rFonts w:ascii="Century Gothic" w:eastAsia="Arial" w:hAnsi="Century Gothic" w:cs="Arial"/>
          <w:b/>
          <w:szCs w:val="20"/>
          <w:lang w:eastAsia="es-MX"/>
        </w:rPr>
        <w:t xml:space="preserve"> de </w:t>
      </w:r>
      <w:r w:rsidR="00C37C12">
        <w:rPr>
          <w:rFonts w:ascii="Century Gothic" w:eastAsia="Arial" w:hAnsi="Century Gothic" w:cs="Arial"/>
          <w:b/>
          <w:szCs w:val="20"/>
          <w:lang w:eastAsia="es-MX"/>
        </w:rPr>
        <w:t>julio</w:t>
      </w:r>
      <w:r w:rsidR="00B65D5C">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r w:rsidRPr="00295EDE">
        <w:rPr>
          <w:rFonts w:ascii="Century Gothic" w:eastAsia="Arial" w:hAnsi="Century Gothic" w:cs="Arial"/>
          <w:b/>
          <w:szCs w:val="20"/>
          <w:lang w:eastAsia="es-MX"/>
        </w:rPr>
        <w:t>.</w:t>
      </w:r>
    </w:p>
    <w:p w14:paraId="4B0DF8D3" w14:textId="347F8A04" w:rsidR="00295EDE" w:rsidRDefault="00295EDE" w:rsidP="00295EDE">
      <w:pPr>
        <w:ind w:right="-94"/>
        <w:jc w:val="center"/>
        <w:rPr>
          <w:rFonts w:ascii="Century Gothic" w:eastAsia="Arial" w:hAnsi="Century Gothic" w:cs="Arial"/>
          <w:b/>
          <w:szCs w:val="20"/>
          <w:lang w:eastAsia="es-MX"/>
        </w:rPr>
      </w:pPr>
    </w:p>
    <w:p w14:paraId="1BDE7DD8" w14:textId="77777777" w:rsidR="00295EDE" w:rsidRPr="00295EDE" w:rsidRDefault="00295EDE" w:rsidP="00295EDE">
      <w:pPr>
        <w:ind w:right="-94"/>
        <w:jc w:val="center"/>
        <w:rPr>
          <w:rFonts w:ascii="Century Gothic" w:eastAsia="Arial" w:hAnsi="Century Gothic" w:cs="Arial"/>
          <w:b/>
          <w:szCs w:val="20"/>
          <w:lang w:eastAsia="es-MX"/>
        </w:rPr>
      </w:pPr>
    </w:p>
    <w:p w14:paraId="202F787E" w14:textId="77777777" w:rsidR="00295EDE" w:rsidRPr="00295EDE" w:rsidRDefault="00295EDE" w:rsidP="00295EDE">
      <w:pPr>
        <w:ind w:right="-94"/>
        <w:jc w:val="center"/>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4377E95C"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lastRenderedPageBreak/>
              <w:drawing>
                <wp:inline distT="0" distB="0" distL="0" distR="0" wp14:anchorId="5C11DCDF" wp14:editId="41671F13">
                  <wp:extent cx="923290" cy="12233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tc>
        <w:tc>
          <w:tcPr>
            <w:tcW w:w="1984" w:type="dxa"/>
          </w:tcPr>
          <w:p w14:paraId="6A403899" w14:textId="77777777" w:rsidR="000269D4" w:rsidRPr="00C52A9F" w:rsidRDefault="000269D4" w:rsidP="00AC5225">
            <w:pPr>
              <w:contextualSpacing/>
              <w:jc w:val="center"/>
              <w:rPr>
                <w:rFonts w:ascii="Century Gothic" w:hAnsi="Century Gothic" w:cs="Arial"/>
                <w:b/>
                <w:lang w:eastAsia="es-MX"/>
              </w:rPr>
            </w:pPr>
          </w:p>
          <w:p w14:paraId="3CC83F0B" w14:textId="77777777" w:rsidR="000269D4" w:rsidRPr="00C52A9F" w:rsidRDefault="000269D4" w:rsidP="00AC5225">
            <w:pPr>
              <w:contextualSpacing/>
              <w:jc w:val="center"/>
              <w:rPr>
                <w:rFonts w:ascii="Century Gothic" w:hAnsi="Century Gothic" w:cs="Arial"/>
                <w:b/>
                <w:lang w:eastAsia="es-MX"/>
              </w:rPr>
            </w:pPr>
          </w:p>
          <w:p w14:paraId="69274D54"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55E422D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79041027" wp14:editId="3A086625">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AC5225">
            <w:pPr>
              <w:contextualSpacing/>
              <w:jc w:val="center"/>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671D9FC7" w:rsidR="000269D4" w:rsidRPr="00295EDE" w:rsidRDefault="000269D4" w:rsidP="005D6321">
      <w:pPr>
        <w:contextualSpacing/>
        <w:jc w:val="center"/>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A26E3C">
        <w:rPr>
          <w:rFonts w:ascii="Century Gothic" w:eastAsia="Arial" w:hAnsi="Century Gothic" w:cs="Arial"/>
          <w:sz w:val="18"/>
          <w:szCs w:val="20"/>
          <w:lang w:eastAsia="es-MX"/>
        </w:rPr>
        <w:t>EL</w:t>
      </w:r>
      <w:r>
        <w:rPr>
          <w:rFonts w:ascii="Century Gothic" w:eastAsia="Arial" w:hAnsi="Century Gothic" w:cs="Arial"/>
          <w:sz w:val="18"/>
          <w:szCs w:val="20"/>
          <w:lang w:eastAsia="es-MX"/>
        </w:rPr>
        <w:t xml:space="preserve"> ASUNTO</w:t>
      </w:r>
      <w:r w:rsidR="00A26E3C">
        <w:rPr>
          <w:rFonts w:ascii="Century Gothic" w:eastAsia="Arial" w:hAnsi="Century Gothic" w:cs="Arial"/>
          <w:sz w:val="18"/>
          <w:szCs w:val="20"/>
          <w:lang w:eastAsia="es-MX"/>
        </w:rPr>
        <w:t xml:space="preserve"> 2179.</w:t>
      </w:r>
    </w:p>
    <w:sectPr w:rsidR="000269D4" w:rsidRPr="00295ED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97D3" w14:textId="77777777" w:rsidR="00C63468" w:rsidRDefault="00C63468" w:rsidP="005D14CE">
      <w:r>
        <w:separator/>
      </w:r>
    </w:p>
  </w:endnote>
  <w:endnote w:type="continuationSeparator" w:id="0">
    <w:p w14:paraId="3493BC54" w14:textId="77777777" w:rsidR="00C63468" w:rsidRDefault="00C63468"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562C9356" w:rsidR="00431220" w:rsidRDefault="00431220">
        <w:pPr>
          <w:pStyle w:val="Piedepgina"/>
          <w:jc w:val="right"/>
        </w:pPr>
        <w:r>
          <w:fldChar w:fldCharType="begin"/>
        </w:r>
        <w:r>
          <w:instrText>PAGE   \* MERGEFORMAT</w:instrText>
        </w:r>
        <w:r>
          <w:fldChar w:fldCharType="separate"/>
        </w:r>
        <w:r w:rsidR="008F1289" w:rsidRPr="008F1289">
          <w:rPr>
            <w:noProof/>
            <w:lang w:val="es-ES"/>
          </w:rPr>
          <w:t>14</w:t>
        </w:r>
        <w:r>
          <w:fldChar w:fldCharType="end"/>
        </w:r>
      </w:p>
    </w:sdtContent>
  </w:sdt>
  <w:p w14:paraId="51491729" w14:textId="73C64B18" w:rsidR="00431220" w:rsidRDefault="00431220">
    <w:pPr>
      <w:pStyle w:val="Piedepgina"/>
    </w:pPr>
    <w:r w:rsidRPr="00A405FF">
      <w:rPr>
        <w:rFonts w:ascii="Arial" w:hAnsi="Arial" w:cs="Arial"/>
        <w:sz w:val="16"/>
        <w:szCs w:val="16"/>
      </w:rPr>
      <w:t xml:space="preserve">A </w:t>
    </w:r>
    <w:r w:rsidR="00C37C12">
      <w:rPr>
        <w:rFonts w:ascii="Arial" w:hAnsi="Arial" w:cs="Arial"/>
        <w:sz w:val="16"/>
        <w:szCs w:val="16"/>
      </w:rPr>
      <w:t>2179</w:t>
    </w:r>
    <w:r w:rsidRPr="00A405FF">
      <w:rPr>
        <w:rFonts w:ascii="Arial" w:hAnsi="Arial" w:cs="Arial"/>
        <w:sz w:val="16"/>
        <w:szCs w:val="16"/>
      </w:rPr>
      <w:t xml:space="preserve"> </w:t>
    </w:r>
    <w:r w:rsidRPr="003C0E97">
      <w:rPr>
        <w:rFonts w:ascii="Arial" w:hAnsi="Arial" w:cs="Arial"/>
        <w:sz w:val="16"/>
        <w:szCs w:val="16"/>
        <w:lang w:val="en-US"/>
      </w:rPr>
      <w:t>GAOR/NTRP/GTN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1F6A" w14:textId="77777777" w:rsidR="00C63468" w:rsidRDefault="00C63468" w:rsidP="005D14CE">
      <w:r>
        <w:separator/>
      </w:r>
    </w:p>
  </w:footnote>
  <w:footnote w:type="continuationSeparator" w:id="0">
    <w:p w14:paraId="16B71070" w14:textId="77777777" w:rsidR="00C63468" w:rsidRDefault="00C63468" w:rsidP="005D14CE">
      <w:r>
        <w:continuationSeparator/>
      </w:r>
    </w:p>
  </w:footnote>
  <w:footnote w:id="1">
    <w:p w14:paraId="38AD4E09" w14:textId="42D6FF83" w:rsidR="00503A3B" w:rsidRDefault="00503A3B" w:rsidP="00C37C12">
      <w:pPr>
        <w:pStyle w:val="Textonotapie"/>
        <w:jc w:val="both"/>
        <w:rPr>
          <w:lang w:val="es-MX"/>
        </w:rPr>
      </w:pPr>
      <w:r>
        <w:rPr>
          <w:rStyle w:val="Refdenotaalpie"/>
        </w:rPr>
        <w:footnoteRef/>
      </w:r>
      <w:r>
        <w:t xml:space="preserve"> </w:t>
      </w:r>
      <w:r>
        <w:rPr>
          <w:lang w:val="es-MX"/>
        </w:rPr>
        <w:t>Código Penal del Estado de Chihuahua. Artículo 173 Abuso Sexual. Tiene una pena privativa de liberta de 6 meses a 6 años y en el artículo 174, se encuentra la pena agravada en el delito de abuso sexual cuando sea cometido en contra de una persona menor de 14 años, con una pena privativa de libertad de 3 a 10 años.</w:t>
      </w:r>
    </w:p>
    <w:p w14:paraId="50B1BB8F" w14:textId="4A42810C" w:rsidR="00503A3B" w:rsidRPr="00503A3B" w:rsidRDefault="00503A3B" w:rsidP="00C37C12">
      <w:pPr>
        <w:pStyle w:val="Textonotapie"/>
        <w:jc w:val="both"/>
        <w:rPr>
          <w:bCs/>
          <w:lang w:val="es-ES_tradnl"/>
        </w:rPr>
      </w:pPr>
      <w:r>
        <w:rPr>
          <w:lang w:val="es-MX"/>
        </w:rPr>
        <w:t xml:space="preserve">En cambio, en los delitos contra la intimidad contemplado en el artículo 180 bis, la pena privativa de libertad es de 1 a 5 años y se agrava con una mitad más del tipo básico, cuando </w:t>
      </w:r>
      <w:r w:rsidRPr="00503A3B">
        <w:rPr>
          <w:bCs/>
          <w:lang w:val="es-ES_tradnl"/>
        </w:rPr>
        <w:t>se cometa en contra de una persona menor de catorce años o que no tenga la capacidad de comprender el significado del hecho o que por cualquier causa no pueda resistirlo, aun y cuando mediare su consentimiento</w:t>
      </w:r>
      <w:r>
        <w:rPr>
          <w:bCs/>
          <w:lang w:val="es-ES_tradnl"/>
        </w:rPr>
        <w:t xml:space="preserve">. </w:t>
      </w:r>
    </w:p>
    <w:p w14:paraId="4D151BF5" w14:textId="4D753E48" w:rsidR="00503A3B" w:rsidRPr="00503A3B" w:rsidRDefault="00503A3B" w:rsidP="00C37C12">
      <w:pPr>
        <w:pStyle w:val="Textonotapie"/>
        <w:jc w:val="both"/>
        <w:rPr>
          <w:lang w:val="es-MX"/>
        </w:rPr>
      </w:pPr>
    </w:p>
  </w:footnote>
  <w:footnote w:id="2">
    <w:p w14:paraId="7DD73A26" w14:textId="7B6DABAA" w:rsidR="00ED1ED3" w:rsidRPr="00ED1ED3" w:rsidRDefault="00ED1ED3" w:rsidP="00C37C12">
      <w:pPr>
        <w:pStyle w:val="Textonotapie"/>
        <w:jc w:val="both"/>
      </w:pPr>
      <w:r>
        <w:rPr>
          <w:rStyle w:val="Refdenotaalpie"/>
        </w:rPr>
        <w:footnoteRef/>
      </w:r>
      <w:r>
        <w:t xml:space="preserve"> </w:t>
      </w:r>
      <w:r w:rsidRPr="00ED1ED3">
        <w:t>Instancia: Primera Sala</w:t>
      </w:r>
      <w:r>
        <w:rPr>
          <w:lang w:val="es-MX"/>
        </w:rPr>
        <w:t xml:space="preserve">. </w:t>
      </w:r>
      <w:r w:rsidRPr="00ED1ED3">
        <w:t>Registro digital: 2027837</w:t>
      </w:r>
      <w:r>
        <w:rPr>
          <w:lang w:val="es-MX"/>
        </w:rPr>
        <w:t xml:space="preserve">. </w:t>
      </w:r>
      <w:r w:rsidRPr="00ED1ED3">
        <w:t>Undécima Época</w:t>
      </w:r>
      <w:r>
        <w:rPr>
          <w:lang w:val="es-MX"/>
        </w:rPr>
        <w:t xml:space="preserve">. </w:t>
      </w:r>
      <w:r w:rsidRPr="00ED1ED3">
        <w:t>Materias(s): Penal, Constitucional</w:t>
      </w:r>
    </w:p>
    <w:p w14:paraId="0D32BA84" w14:textId="09CB2718" w:rsidR="00ED1ED3" w:rsidRPr="00ED1ED3" w:rsidRDefault="00ED1ED3" w:rsidP="00C37C12">
      <w:pPr>
        <w:pStyle w:val="Textonotapie"/>
        <w:jc w:val="both"/>
      </w:pPr>
      <w:r w:rsidRPr="00ED1ED3">
        <w:t>Tesis: 1a./J. 190/2023 (11a.)</w:t>
      </w:r>
      <w:r>
        <w:rPr>
          <w:lang w:val="es-MX"/>
        </w:rPr>
        <w:t xml:space="preserve">. </w:t>
      </w:r>
      <w:r w:rsidRPr="00ED1ED3">
        <w:t>Fuente: Gaceta del Semanario Judicial de la Federación. Libro 32, Diciembre de 2023, Tomo II, página 1770</w:t>
      </w:r>
      <w:r>
        <w:rPr>
          <w:lang w:val="es-MX"/>
        </w:rPr>
        <w:t xml:space="preserve">. </w:t>
      </w:r>
      <w:r w:rsidRPr="00ED1ED3">
        <w:t>Tipo: Jurisprudencia</w:t>
      </w:r>
      <w:r>
        <w:rPr>
          <w:lang w:val="es-MX"/>
        </w:rPr>
        <w:t xml:space="preserve">. </w:t>
      </w:r>
      <w:r w:rsidRPr="00ED1ED3">
        <w:t>SUSPENSIÓN CONDICIONAL DEL PROCESO. LA LIMITANTE PARA CONCEDERLA, RELATIVA A QUE EL AUTO DE VINCULACIÓN A PROCESO SE HAYA DICTADO POR UN DELITO CUYA MEDIA ARITMÉTICA NO EXCEDA LOS CINCO AÑOS DE PRISIÓN, NO VULNERA EL DERECHO DE ACCESO A LA JUSTICIA.</w:t>
      </w:r>
    </w:p>
    <w:p w14:paraId="6E2A08EE" w14:textId="77777777" w:rsidR="00ED1ED3" w:rsidRPr="00ED1ED3" w:rsidRDefault="00ED1ED3" w:rsidP="00C37C12">
      <w:pPr>
        <w:pStyle w:val="Textonotapie"/>
        <w:jc w:val="both"/>
      </w:pPr>
    </w:p>
    <w:p w14:paraId="5DA58E64" w14:textId="77777777" w:rsidR="00ED1ED3" w:rsidRPr="00ED1ED3" w:rsidRDefault="00ED1ED3" w:rsidP="00C37C12">
      <w:pPr>
        <w:pStyle w:val="Textonotapie"/>
        <w:jc w:val="both"/>
      </w:pPr>
      <w:r w:rsidRPr="00ED1ED3">
        <w:t>Hechos: Una persona sujeta a un procedimiento adversarial y oral por la comisión de un delito de robo calificado solicitó la suspensión condicional del proceso antes de que se dictara el auto de apertura a juicio oral. El Juez de Control negó esa salida alterna de solución a la controversia penal porque la pena de prisión aplicable al delito fijado en el auto de vinculación a proceso, incluyendo la circunstancia agravante, sobrepasaba el término medio aritmético de cinco años de prisión exigido para su concesión por el artículo 192, fracción I, del Código Nacional del Procedimientos Penales. Inconforme con esa resolución, la persona imputada promovió un juicio de amparo indirecto en el que reclamó la inconstitucionalidad de ese precepto, pero le fue negada la protección constitucional. La parte quejosa interpuso recurso de revisión que fue remitido a esta Suprema Corte para conocer del problema de constitucionalidad planteado.</w:t>
      </w:r>
    </w:p>
    <w:p w14:paraId="33547CF4" w14:textId="77777777" w:rsidR="00ED1ED3" w:rsidRPr="00ED1ED3" w:rsidRDefault="00ED1ED3" w:rsidP="00C37C12">
      <w:pPr>
        <w:pStyle w:val="Textonotapie"/>
        <w:jc w:val="both"/>
      </w:pPr>
    </w:p>
    <w:p w14:paraId="4B4A6253" w14:textId="77777777" w:rsidR="00ED1ED3" w:rsidRPr="00ED1ED3" w:rsidRDefault="00ED1ED3" w:rsidP="00C37C12">
      <w:pPr>
        <w:pStyle w:val="Textonotapie"/>
        <w:jc w:val="both"/>
      </w:pPr>
      <w:r w:rsidRPr="00ED1ED3">
        <w:t>Criterio jurídico: La limitante para conceder la suspensión condicional del proceso, relativa a que la media aritmética de la pena del delito fijado en el auto de vinculación a proceso no exceda los cinco años de prisión, no vulnera el derecho de acceso a la justicia. Ello debido a que se trata de un requisito que es razonable para la procedencia de esa forma de solución alterna de la controversia penal que está diseñada para resolver asuntos de una gravedad menor a través de una efectiva restitución, de tal forma que la respuesta penal pueda considerarse prescindible.</w:t>
      </w:r>
    </w:p>
    <w:p w14:paraId="7FAAE124" w14:textId="77777777" w:rsidR="00ED1ED3" w:rsidRPr="00ED1ED3" w:rsidRDefault="00ED1ED3" w:rsidP="00C37C12">
      <w:pPr>
        <w:pStyle w:val="Textonotapie"/>
        <w:jc w:val="both"/>
      </w:pPr>
    </w:p>
    <w:p w14:paraId="598C1DDC" w14:textId="77777777" w:rsidR="00ED1ED3" w:rsidRPr="00ED1ED3" w:rsidRDefault="00ED1ED3" w:rsidP="00C37C12">
      <w:pPr>
        <w:pStyle w:val="Textonotapie"/>
        <w:jc w:val="both"/>
      </w:pPr>
      <w:r w:rsidRPr="00ED1ED3">
        <w:t>Justificación: Del contenido del artículo 17, párrafo quinto, de la Constitución Política de los Estados Unidos Mexicanos deriva una forma de administración de justicia más ágil a través de la utilización de mecanismos alternos de solución de controversias, el cual no se previó como un derecho generalizado, sino que delegó en el legislador secundario la instrumentación de su aplicación en atención a la naturaleza de los derechos tutelados en la norma penal. Ese tipo de mecanismos busca conseguir una restauración efectiva a los efectos producidos por el delito, la cual debe permitir a las partes en conflicto el conciliar sus intereses y que, mediante su aplicación que requiere de autorización judicial previa, se tenga por concluida la controversia penal.</w:t>
      </w:r>
    </w:p>
    <w:p w14:paraId="6F625D75" w14:textId="77777777" w:rsidR="00ED1ED3" w:rsidRPr="00ED1ED3" w:rsidRDefault="00ED1ED3" w:rsidP="00C37C12">
      <w:pPr>
        <w:pStyle w:val="Textonotapie"/>
        <w:jc w:val="both"/>
      </w:pPr>
      <w:r w:rsidRPr="00ED1ED3">
        <w:t>Ahora bien, el artículo 192 del Código Nacional de Procedimientos Penales establece los requisitos para conceder la suspensión condicional del proceso como mecanismo para concluir alternativamente la controversia penal. Al respecto, la fracción I de ese precepto dispone su procedencia cuando el auto de vinculación a proceso se haya dictado por un delito cuya media aritmética no exceda de cinco años de prisión.</w:t>
      </w:r>
    </w:p>
    <w:p w14:paraId="2BA837DC" w14:textId="77777777" w:rsidR="00ED1ED3" w:rsidRPr="00ED1ED3" w:rsidRDefault="00ED1ED3" w:rsidP="00C37C12">
      <w:pPr>
        <w:pStyle w:val="Textonotapie"/>
        <w:jc w:val="both"/>
      </w:pPr>
      <w:r w:rsidRPr="00ED1ED3">
        <w:t>Esa limitante es razonable y compatible con el referido precepto constitucional, pues garantiza que la implementación de los mecanismos alternos de solución de controversias sea procedente exclusivamente en aquellos casos en los que no se afecten de manera importante los bienes jurídicos tutelados por las normas penales y que de esta manera pueda lograrse una efectiva restitución, de tal forma que la respuesta penal pueda considerarse prescindible. Fuera de esos supuestos debe continuarse el trámite ordinario del procedimiento penal.</w:t>
      </w:r>
    </w:p>
    <w:p w14:paraId="6F73AB31" w14:textId="77777777" w:rsidR="00ED1ED3" w:rsidRPr="00ED1ED3" w:rsidRDefault="00ED1ED3" w:rsidP="00C37C12">
      <w:pPr>
        <w:pStyle w:val="Textonotapie"/>
        <w:jc w:val="both"/>
      </w:pPr>
      <w:r w:rsidRPr="00ED1ED3">
        <w:t>Por lo tanto, la limitante establecida en el artículo 192 en mención obedece a un principio de razonabilidad jurídica que forma parte de la libertad configurativa delegada al legislador secundario con el propósito de establecer los requisitos legales para la procedencia de la suspensión condicional del proceso y que está reservado a los casos en los que se afecta en menor medida a los bienes jurídicos tutelados en la norma penal, lo cual no vulnera el derecho humano de acceso a la justicia.</w:t>
      </w:r>
    </w:p>
    <w:p w14:paraId="48F4EDD6" w14:textId="437B6073" w:rsidR="00ED1ED3" w:rsidRPr="00ED1ED3" w:rsidRDefault="00ED1ED3" w:rsidP="00C37C12">
      <w:pPr>
        <w:pStyle w:val="Textonotapie"/>
        <w:jc w:val="both"/>
        <w:rPr>
          <w:lang w:val="es-MX"/>
        </w:rPr>
      </w:pPr>
    </w:p>
  </w:footnote>
  <w:footnote w:id="3">
    <w:p w14:paraId="6A434B32" w14:textId="026FAB33" w:rsidR="00CC382B" w:rsidRPr="00CC382B" w:rsidRDefault="00CC382B" w:rsidP="00C37C12">
      <w:pPr>
        <w:pStyle w:val="Textonotapie"/>
        <w:jc w:val="both"/>
        <w:rPr>
          <w:lang w:val="es-MX"/>
        </w:rPr>
      </w:pPr>
      <w:r>
        <w:rPr>
          <w:rStyle w:val="Refdenotaalpie"/>
        </w:rPr>
        <w:footnoteRef/>
      </w:r>
      <w:r>
        <w:t xml:space="preserve"> </w:t>
      </w:r>
      <w:r>
        <w:rPr>
          <w:lang w:val="es-MX"/>
        </w:rPr>
        <w:t xml:space="preserve">Suprema Corte de Justicia de la Nación. Pleno. </w:t>
      </w:r>
      <w:r w:rsidRPr="00A375EC">
        <w:rPr>
          <w:lang w:val="es-MX"/>
        </w:rPr>
        <w:t>Acción de Inconstitucionalidad 39/2015</w:t>
      </w:r>
      <w:r>
        <w:rPr>
          <w:lang w:val="es-MX"/>
        </w:rPr>
        <w:t>. Párrafo 77</w:t>
      </w:r>
    </w:p>
  </w:footnote>
  <w:footnote w:id="4">
    <w:p w14:paraId="734E818F" w14:textId="77777777" w:rsidR="00CC382B" w:rsidRDefault="00CC382B" w:rsidP="00C37C12">
      <w:pPr>
        <w:pStyle w:val="Textonotapie"/>
        <w:jc w:val="both"/>
        <w:rPr>
          <w:lang w:val="es-MX"/>
        </w:rPr>
      </w:pPr>
      <w:r>
        <w:rPr>
          <w:rStyle w:val="Refdenotaalpie"/>
        </w:rPr>
        <w:footnoteRef/>
      </w:r>
      <w:r>
        <w:t xml:space="preserve"> </w:t>
      </w:r>
      <w:r>
        <w:rPr>
          <w:lang w:val="es-MX"/>
        </w:rPr>
        <w:t xml:space="preserve">Código Nacional de Procedimientos Penales. </w:t>
      </w:r>
      <w:r w:rsidRPr="00CC382B">
        <w:rPr>
          <w:lang w:val="es-MX"/>
        </w:rPr>
        <w:t>Artículo 192. Procedencia</w:t>
      </w:r>
      <w:r>
        <w:rPr>
          <w:lang w:val="es-MX"/>
        </w:rPr>
        <w:t>.</w:t>
      </w:r>
      <w:r w:rsidRPr="00CC382B">
        <w:rPr>
          <w:lang w:val="es-MX"/>
        </w:rPr>
        <w:t xml:space="preserve"> La suspensión condicional del proceso, a solicitud del imputado o del Ministerio Público con acuerdo de aquél, procederá en los casos en que se cubran los requisitos siguientes: </w:t>
      </w:r>
    </w:p>
    <w:p w14:paraId="2AA1AE65" w14:textId="25CD31E7" w:rsidR="00CC382B" w:rsidRDefault="00CC382B" w:rsidP="00C37C12">
      <w:pPr>
        <w:pStyle w:val="Textonotapie"/>
        <w:jc w:val="both"/>
        <w:rPr>
          <w:lang w:val="es-MX"/>
        </w:rPr>
      </w:pPr>
      <w:r w:rsidRPr="00CC382B">
        <w:rPr>
          <w:lang w:val="es-MX"/>
        </w:rPr>
        <w:t xml:space="preserve">I. Que </w:t>
      </w:r>
      <w:bookmarkStart w:id="2" w:name="_Hlk171611507"/>
      <w:r w:rsidRPr="00CC382B">
        <w:rPr>
          <w:lang w:val="es-MX"/>
        </w:rPr>
        <w:t>el auto de vinculación a proceso del imputado se haya dictado por un delito cuya media aritmética de la pena de prisión no exceda de cinco años</w:t>
      </w:r>
      <w:bookmarkEnd w:id="2"/>
      <w:r w:rsidRPr="00CC382B">
        <w:rPr>
          <w:lang w:val="es-MX"/>
        </w:rPr>
        <w:t>;</w:t>
      </w:r>
    </w:p>
    <w:p w14:paraId="4C003492" w14:textId="691211E9" w:rsidR="00CC382B" w:rsidRPr="00CC382B" w:rsidRDefault="00CC382B" w:rsidP="00C37C12">
      <w:pPr>
        <w:pStyle w:val="Textonotapie"/>
        <w:jc w:val="both"/>
        <w:rPr>
          <w:lang w:val="es-MX"/>
        </w:rPr>
      </w:pPr>
      <w:r>
        <w:rPr>
          <w:lang w:val="es-MX"/>
        </w:rPr>
        <w:t>(...) vigente al 11 de julio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431220" w:rsidRPr="003C0E97" w:rsidRDefault="00431220"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431220" w:rsidRDefault="00431220" w:rsidP="005D14CE">
    <w:pPr>
      <w:pStyle w:val="Encabezado"/>
      <w:jc w:val="right"/>
      <w:rPr>
        <w:rFonts w:ascii="Century Gothic" w:hAnsi="Century Gothic"/>
        <w:b/>
      </w:rPr>
    </w:pPr>
    <w:r>
      <w:rPr>
        <w:rFonts w:ascii="Century Gothic" w:hAnsi="Century Gothic"/>
        <w:b/>
      </w:rPr>
      <w:tab/>
      <w:t xml:space="preserve">                                                               </w:t>
    </w:r>
  </w:p>
  <w:p w14:paraId="284C5766" w14:textId="0AE1111E" w:rsidR="00431220" w:rsidRPr="007F3266" w:rsidRDefault="00431220"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431220" w:rsidRPr="007C5615" w:rsidRDefault="00431220" w:rsidP="005D14CE">
    <w:pPr>
      <w:pStyle w:val="Encabezado"/>
      <w:jc w:val="right"/>
      <w:rPr>
        <w:rFonts w:ascii="Century Gothic" w:hAnsi="Century Gothic"/>
        <w:b/>
      </w:rPr>
    </w:pPr>
    <w:r w:rsidRPr="007F3266">
      <w:rPr>
        <w:rFonts w:ascii="Century Gothic" w:hAnsi="Century Gothic"/>
        <w:b/>
      </w:rPr>
      <w:t>LXVII LEGISLATURA</w:t>
    </w:r>
  </w:p>
  <w:p w14:paraId="38B60707" w14:textId="12710A54" w:rsidR="00431220" w:rsidRPr="007266F6" w:rsidRDefault="00431220"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sidR="00D71549">
      <w:rPr>
        <w:rFonts w:ascii="Century Gothic" w:hAnsi="Century Gothic" w:cs="Arial"/>
        <w:b/>
        <w:lang w:val="es-ES"/>
      </w:rPr>
      <w:t>0</w:t>
    </w:r>
    <w:r w:rsidR="00D315AC">
      <w:rPr>
        <w:rFonts w:ascii="Century Gothic" w:hAnsi="Century Gothic" w:cs="Arial"/>
        <w:b/>
        <w:lang w:val="es-ES"/>
      </w:rPr>
      <w:t>34</w:t>
    </w:r>
    <w:r>
      <w:rPr>
        <w:rFonts w:ascii="Century Gothic" w:hAnsi="Century Gothic" w:cs="Arial"/>
        <w:b/>
      </w:rPr>
      <w:t>/202</w:t>
    </w:r>
    <w:r w:rsidR="005E24C4">
      <w:rPr>
        <w:rFonts w:ascii="Century Gothic" w:hAnsi="Century Gothic" w:cs="Arial"/>
        <w:b/>
      </w:rPr>
      <w:t>4</w:t>
    </w:r>
  </w:p>
  <w:p w14:paraId="0497215C" w14:textId="77777777" w:rsidR="00431220" w:rsidRDefault="004312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37D02ED"/>
    <w:multiLevelType w:val="hybridMultilevel"/>
    <w:tmpl w:val="942E3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9"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5"/>
  </w:num>
  <w:num w:numId="5">
    <w:abstractNumId w:val="9"/>
  </w:num>
  <w:num w:numId="6">
    <w:abstractNumId w:val="2"/>
  </w:num>
  <w:num w:numId="7">
    <w:abstractNumId w:val="10"/>
  </w:num>
  <w:num w:numId="8">
    <w:abstractNumId w:val="1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11138"/>
    <w:rsid w:val="000269D4"/>
    <w:rsid w:val="000463DC"/>
    <w:rsid w:val="00053BB0"/>
    <w:rsid w:val="00063A11"/>
    <w:rsid w:val="00063BF9"/>
    <w:rsid w:val="0007233C"/>
    <w:rsid w:val="00076680"/>
    <w:rsid w:val="000A4DA7"/>
    <w:rsid w:val="000A5092"/>
    <w:rsid w:val="000B138C"/>
    <w:rsid w:val="000C0495"/>
    <w:rsid w:val="000D47B2"/>
    <w:rsid w:val="000D568A"/>
    <w:rsid w:val="000F46F4"/>
    <w:rsid w:val="00131FEA"/>
    <w:rsid w:val="00141840"/>
    <w:rsid w:val="00150C73"/>
    <w:rsid w:val="00176B19"/>
    <w:rsid w:val="001934F3"/>
    <w:rsid w:val="001A33C3"/>
    <w:rsid w:val="001C43DA"/>
    <w:rsid w:val="001C7D7F"/>
    <w:rsid w:val="001D487D"/>
    <w:rsid w:val="001E18F0"/>
    <w:rsid w:val="001F74AF"/>
    <w:rsid w:val="00210559"/>
    <w:rsid w:val="0027332F"/>
    <w:rsid w:val="0028427C"/>
    <w:rsid w:val="00292B62"/>
    <w:rsid w:val="00295EDE"/>
    <w:rsid w:val="002D0A17"/>
    <w:rsid w:val="002D1586"/>
    <w:rsid w:val="002D7BE0"/>
    <w:rsid w:val="0030206D"/>
    <w:rsid w:val="00351587"/>
    <w:rsid w:val="00352FB6"/>
    <w:rsid w:val="003604C4"/>
    <w:rsid w:val="00383AE9"/>
    <w:rsid w:val="0038714D"/>
    <w:rsid w:val="0039048D"/>
    <w:rsid w:val="00395D5E"/>
    <w:rsid w:val="003A5682"/>
    <w:rsid w:val="003A769F"/>
    <w:rsid w:val="003A78BA"/>
    <w:rsid w:val="003B39DE"/>
    <w:rsid w:val="003C0E97"/>
    <w:rsid w:val="003F7D8F"/>
    <w:rsid w:val="00431220"/>
    <w:rsid w:val="004720DF"/>
    <w:rsid w:val="0047226D"/>
    <w:rsid w:val="00487C9F"/>
    <w:rsid w:val="004A3E49"/>
    <w:rsid w:val="004A6DAD"/>
    <w:rsid w:val="004B33D0"/>
    <w:rsid w:val="004B4974"/>
    <w:rsid w:val="004F69FE"/>
    <w:rsid w:val="00503A3B"/>
    <w:rsid w:val="00516E55"/>
    <w:rsid w:val="005229AE"/>
    <w:rsid w:val="00554666"/>
    <w:rsid w:val="0055489F"/>
    <w:rsid w:val="0058559D"/>
    <w:rsid w:val="005A75EA"/>
    <w:rsid w:val="005D14CE"/>
    <w:rsid w:val="005D6321"/>
    <w:rsid w:val="005E24C4"/>
    <w:rsid w:val="005F6ED4"/>
    <w:rsid w:val="00615295"/>
    <w:rsid w:val="0061700C"/>
    <w:rsid w:val="006200AB"/>
    <w:rsid w:val="00642479"/>
    <w:rsid w:val="006506A4"/>
    <w:rsid w:val="00651A95"/>
    <w:rsid w:val="00662E9E"/>
    <w:rsid w:val="00693A68"/>
    <w:rsid w:val="00693EC2"/>
    <w:rsid w:val="0069679C"/>
    <w:rsid w:val="006B2028"/>
    <w:rsid w:val="006C4E65"/>
    <w:rsid w:val="006D5689"/>
    <w:rsid w:val="00717FCA"/>
    <w:rsid w:val="0073641F"/>
    <w:rsid w:val="007369E4"/>
    <w:rsid w:val="00742AED"/>
    <w:rsid w:val="0074653E"/>
    <w:rsid w:val="00761A2E"/>
    <w:rsid w:val="00781CE1"/>
    <w:rsid w:val="0078432D"/>
    <w:rsid w:val="00785DA5"/>
    <w:rsid w:val="007953BF"/>
    <w:rsid w:val="007A767D"/>
    <w:rsid w:val="007B7406"/>
    <w:rsid w:val="007C6755"/>
    <w:rsid w:val="007D1882"/>
    <w:rsid w:val="007D7C04"/>
    <w:rsid w:val="008245E9"/>
    <w:rsid w:val="008306C9"/>
    <w:rsid w:val="008625E7"/>
    <w:rsid w:val="00877A6B"/>
    <w:rsid w:val="008A6EAB"/>
    <w:rsid w:val="008B2792"/>
    <w:rsid w:val="008D1730"/>
    <w:rsid w:val="008D602C"/>
    <w:rsid w:val="008E1E41"/>
    <w:rsid w:val="008E472F"/>
    <w:rsid w:val="008F1289"/>
    <w:rsid w:val="0090292A"/>
    <w:rsid w:val="00903348"/>
    <w:rsid w:val="00930A7C"/>
    <w:rsid w:val="00941D2B"/>
    <w:rsid w:val="00942A48"/>
    <w:rsid w:val="00945419"/>
    <w:rsid w:val="009545FB"/>
    <w:rsid w:val="00955BA9"/>
    <w:rsid w:val="00986DCB"/>
    <w:rsid w:val="009938F8"/>
    <w:rsid w:val="009A2761"/>
    <w:rsid w:val="009C052B"/>
    <w:rsid w:val="009D7E55"/>
    <w:rsid w:val="009E7368"/>
    <w:rsid w:val="009F506A"/>
    <w:rsid w:val="00A024F1"/>
    <w:rsid w:val="00A034B0"/>
    <w:rsid w:val="00A06985"/>
    <w:rsid w:val="00A11F1F"/>
    <w:rsid w:val="00A13A55"/>
    <w:rsid w:val="00A26E3C"/>
    <w:rsid w:val="00A375EC"/>
    <w:rsid w:val="00A405FF"/>
    <w:rsid w:val="00A40788"/>
    <w:rsid w:val="00A42F1C"/>
    <w:rsid w:val="00A449EF"/>
    <w:rsid w:val="00A709CD"/>
    <w:rsid w:val="00A72E1C"/>
    <w:rsid w:val="00A83430"/>
    <w:rsid w:val="00A90C64"/>
    <w:rsid w:val="00A943D1"/>
    <w:rsid w:val="00A9752F"/>
    <w:rsid w:val="00AB22F5"/>
    <w:rsid w:val="00AB4C67"/>
    <w:rsid w:val="00AC5225"/>
    <w:rsid w:val="00AD0FB6"/>
    <w:rsid w:val="00AF5D60"/>
    <w:rsid w:val="00B02542"/>
    <w:rsid w:val="00B24145"/>
    <w:rsid w:val="00B5091F"/>
    <w:rsid w:val="00B62AC0"/>
    <w:rsid w:val="00B65D5C"/>
    <w:rsid w:val="00B66E28"/>
    <w:rsid w:val="00B72B75"/>
    <w:rsid w:val="00B801A6"/>
    <w:rsid w:val="00B92598"/>
    <w:rsid w:val="00BD3FAB"/>
    <w:rsid w:val="00C0553F"/>
    <w:rsid w:val="00C239F4"/>
    <w:rsid w:val="00C37C12"/>
    <w:rsid w:val="00C63468"/>
    <w:rsid w:val="00C769EA"/>
    <w:rsid w:val="00C82E7B"/>
    <w:rsid w:val="00CA0BC8"/>
    <w:rsid w:val="00CA7616"/>
    <w:rsid w:val="00CC382B"/>
    <w:rsid w:val="00CD6BB2"/>
    <w:rsid w:val="00CF64BB"/>
    <w:rsid w:val="00D06212"/>
    <w:rsid w:val="00D15B57"/>
    <w:rsid w:val="00D315AC"/>
    <w:rsid w:val="00D4326E"/>
    <w:rsid w:val="00D46DDD"/>
    <w:rsid w:val="00D46E28"/>
    <w:rsid w:val="00D646BC"/>
    <w:rsid w:val="00D71549"/>
    <w:rsid w:val="00D7598D"/>
    <w:rsid w:val="00D85130"/>
    <w:rsid w:val="00DA4310"/>
    <w:rsid w:val="00DD09AE"/>
    <w:rsid w:val="00DD259D"/>
    <w:rsid w:val="00DF3E08"/>
    <w:rsid w:val="00E010C1"/>
    <w:rsid w:val="00E01F59"/>
    <w:rsid w:val="00E03F6F"/>
    <w:rsid w:val="00E07404"/>
    <w:rsid w:val="00E07B9C"/>
    <w:rsid w:val="00E13CCF"/>
    <w:rsid w:val="00E23430"/>
    <w:rsid w:val="00E30E76"/>
    <w:rsid w:val="00E648CF"/>
    <w:rsid w:val="00E747EC"/>
    <w:rsid w:val="00E863EF"/>
    <w:rsid w:val="00E86A96"/>
    <w:rsid w:val="00E87220"/>
    <w:rsid w:val="00E9382D"/>
    <w:rsid w:val="00EA2B2E"/>
    <w:rsid w:val="00EB4B4F"/>
    <w:rsid w:val="00EC0D31"/>
    <w:rsid w:val="00EC6301"/>
    <w:rsid w:val="00ED1ED3"/>
    <w:rsid w:val="00EE232B"/>
    <w:rsid w:val="00F109DC"/>
    <w:rsid w:val="00F150B9"/>
    <w:rsid w:val="00F22F30"/>
    <w:rsid w:val="00F45D73"/>
    <w:rsid w:val="00F46E2C"/>
    <w:rsid w:val="00F8069B"/>
    <w:rsid w:val="00F84034"/>
    <w:rsid w:val="00F90C26"/>
    <w:rsid w:val="00F95265"/>
    <w:rsid w:val="00F9623B"/>
    <w:rsid w:val="00FC045C"/>
    <w:rsid w:val="00FC750B"/>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3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A45D-E35D-4116-9791-33BDA3F2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2430</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2024-08-07T18:00:00Z</dcterms:created>
  <dcterms:modified xsi:type="dcterms:W3CDTF">2024-08-07T18:00:00Z</dcterms:modified>
</cp:coreProperties>
</file>