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28" w:rsidRDefault="006F6028" w:rsidP="006F6028">
      <w:pPr>
        <w:spacing w:after="0" w:line="360" w:lineRule="auto"/>
        <w:jc w:val="both"/>
        <w:rPr>
          <w:rFonts w:ascii="Century Gothic" w:hAnsi="Century Gothic" w:cs="Arial"/>
          <w:b/>
          <w:sz w:val="24"/>
          <w:szCs w:val="24"/>
        </w:rPr>
      </w:pPr>
      <w:bookmarkStart w:id="0" w:name="_GoBack"/>
      <w:bookmarkEnd w:id="0"/>
    </w:p>
    <w:p w:rsidR="006F6028" w:rsidRDefault="006F6028" w:rsidP="006F6028">
      <w:pPr>
        <w:spacing w:after="0" w:line="360" w:lineRule="auto"/>
        <w:jc w:val="both"/>
        <w:rPr>
          <w:rFonts w:ascii="Century Gothic" w:hAnsi="Century Gothic" w:cs="Arial"/>
          <w:b/>
          <w:sz w:val="24"/>
          <w:szCs w:val="24"/>
        </w:rPr>
      </w:pPr>
    </w:p>
    <w:p w:rsidR="006F6028" w:rsidRPr="0049449F" w:rsidRDefault="006F6028" w:rsidP="006F6028">
      <w:pPr>
        <w:spacing w:after="0" w:line="360" w:lineRule="auto"/>
        <w:jc w:val="both"/>
        <w:rPr>
          <w:rFonts w:ascii="Century Gothic" w:hAnsi="Century Gothic" w:cs="Arial"/>
          <w:b/>
          <w:sz w:val="24"/>
          <w:szCs w:val="24"/>
        </w:rPr>
      </w:pPr>
      <w:r w:rsidRPr="0049449F">
        <w:rPr>
          <w:rFonts w:ascii="Century Gothic" w:hAnsi="Century Gothic" w:cs="Arial"/>
          <w:b/>
          <w:sz w:val="24"/>
          <w:szCs w:val="24"/>
        </w:rPr>
        <w:t>H. CONGRESO DEL ESTADO DE CHIHUAHUA</w:t>
      </w:r>
    </w:p>
    <w:p w:rsidR="006F6028" w:rsidRPr="0049449F" w:rsidRDefault="006F6028" w:rsidP="006F6028">
      <w:pPr>
        <w:spacing w:after="0" w:line="360" w:lineRule="auto"/>
        <w:jc w:val="both"/>
        <w:rPr>
          <w:rFonts w:ascii="Century Gothic" w:hAnsi="Century Gothic" w:cs="Arial"/>
          <w:b/>
          <w:sz w:val="24"/>
          <w:szCs w:val="24"/>
        </w:rPr>
      </w:pPr>
      <w:r w:rsidRPr="0049449F">
        <w:rPr>
          <w:rFonts w:ascii="Century Gothic" w:hAnsi="Century Gothic" w:cs="Arial"/>
          <w:b/>
          <w:sz w:val="24"/>
          <w:szCs w:val="24"/>
        </w:rPr>
        <w:t xml:space="preserve">PRESENTE.- </w:t>
      </w:r>
    </w:p>
    <w:p w:rsidR="006F6028" w:rsidRDefault="006F6028" w:rsidP="006F6028">
      <w:pPr>
        <w:spacing w:after="0" w:line="360" w:lineRule="auto"/>
        <w:jc w:val="both"/>
        <w:rPr>
          <w:rFonts w:ascii="Century Gothic" w:hAnsi="Century Gothic" w:cs="Arial"/>
          <w:sz w:val="24"/>
          <w:szCs w:val="24"/>
        </w:rPr>
      </w:pPr>
    </w:p>
    <w:p w:rsidR="00027229" w:rsidRDefault="00027229" w:rsidP="00027229">
      <w:pPr>
        <w:spacing w:line="360" w:lineRule="auto"/>
        <w:jc w:val="both"/>
        <w:rPr>
          <w:rFonts w:ascii="Century Gothic" w:hAnsi="Century Gothic" w:cs="Arial"/>
          <w:sz w:val="24"/>
          <w:szCs w:val="24"/>
        </w:rPr>
      </w:pPr>
      <w:r w:rsidRPr="008409DA">
        <w:rPr>
          <w:rFonts w:ascii="Century Gothic" w:hAnsi="Century Gothic" w:cs="Arial"/>
          <w:color w:val="000000"/>
          <w:sz w:val="24"/>
          <w:szCs w:val="24"/>
        </w:rPr>
        <w:t>Quien suscribe</w:t>
      </w:r>
      <w:r w:rsidRPr="008409DA">
        <w:rPr>
          <w:rFonts w:ascii="Century Gothic" w:hAnsi="Century Gothic" w:cs="Arial"/>
          <w:b/>
          <w:color w:val="000000"/>
          <w:sz w:val="24"/>
          <w:szCs w:val="24"/>
        </w:rPr>
        <w:t>, GEORGINA ALEJANDRA BUJANDA RÍOS</w:t>
      </w:r>
      <w:r w:rsidRPr="008409DA">
        <w:rPr>
          <w:rFonts w:ascii="Century Gothic" w:hAnsi="Century Gothic" w:cs="Arial"/>
          <w:b/>
          <w:sz w:val="24"/>
          <w:szCs w:val="24"/>
        </w:rPr>
        <w:t xml:space="preserve">, </w:t>
      </w:r>
      <w:r w:rsidRPr="008409DA">
        <w:rPr>
          <w:rFonts w:ascii="Century Gothic" w:hAnsi="Century Gothic" w:cs="Arial"/>
          <w:sz w:val="24"/>
          <w:szCs w:val="24"/>
        </w:rPr>
        <w:t>en mi carácter de Diputada</w:t>
      </w:r>
      <w:r w:rsidRPr="008409DA">
        <w:rPr>
          <w:rFonts w:ascii="Century Gothic" w:hAnsi="Century Gothic" w:cs="Arial"/>
          <w:b/>
          <w:sz w:val="24"/>
          <w:szCs w:val="24"/>
        </w:rPr>
        <w:t xml:space="preserve"> </w:t>
      </w:r>
      <w:r w:rsidRPr="008409DA">
        <w:rPr>
          <w:rFonts w:ascii="Century Gothic" w:hAnsi="Century Gothic" w:cs="Arial"/>
          <w:sz w:val="24"/>
          <w:szCs w:val="24"/>
        </w:rPr>
        <w:t>a la Sexagésima Sexta Legislatura del</w:t>
      </w:r>
      <w:r w:rsidR="00083815">
        <w:rPr>
          <w:rFonts w:ascii="Century Gothic" w:hAnsi="Century Gothic" w:cs="Arial"/>
          <w:sz w:val="24"/>
          <w:szCs w:val="24"/>
        </w:rPr>
        <w:t xml:space="preserve"> Honorable Congreso del Estado e </w:t>
      </w:r>
      <w:r w:rsidRPr="008409DA">
        <w:rPr>
          <w:rFonts w:ascii="Century Gothic" w:hAnsi="Century Gothic" w:cs="Arial"/>
          <w:sz w:val="24"/>
          <w:szCs w:val="24"/>
        </w:rPr>
        <w:t xml:space="preserve">integrante del Grupo Parlamentario del Partido Acción Nacional; en uso de las atribuciones conferidas por los </w:t>
      </w:r>
      <w:r w:rsidRPr="008409DA">
        <w:rPr>
          <w:rFonts w:ascii="Century Gothic" w:eastAsia="Times New Roman" w:hAnsi="Century Gothic" w:cs="Arial"/>
          <w:bCs/>
          <w:noProof/>
          <w:sz w:val="24"/>
          <w:szCs w:val="24"/>
          <w:lang w:eastAsia="es-ES"/>
        </w:rPr>
        <w:t>artículos 68 fracción primera, de la Constitución Política del Estado de Chihuahua; 167, fracción primera, 169 y 174, todos de la Ley Orgánica del Poder Legislativo; así como los numerales 75 y 76 del Reglamento Interior y de Prácticas Parlamentarias del Poder Legislativo.</w:t>
      </w:r>
      <w:r w:rsidRPr="008409DA">
        <w:rPr>
          <w:rFonts w:ascii="Century Gothic" w:hAnsi="Century Gothic" w:cs="Arial"/>
          <w:sz w:val="24"/>
          <w:szCs w:val="24"/>
        </w:rPr>
        <w:t xml:space="preserve"> Comparezco ante esta Honorable Representación Popular para presentar iniciativa con carácter de </w:t>
      </w:r>
      <w:r w:rsidRPr="008409DA">
        <w:rPr>
          <w:rFonts w:ascii="Century Gothic" w:hAnsi="Century Gothic" w:cs="Arial"/>
          <w:b/>
          <w:sz w:val="24"/>
          <w:szCs w:val="24"/>
        </w:rPr>
        <w:t>Decreto</w:t>
      </w:r>
      <w:r w:rsidRPr="008409DA">
        <w:rPr>
          <w:rFonts w:ascii="Century Gothic" w:hAnsi="Century Gothic" w:cs="Arial"/>
          <w:sz w:val="24"/>
          <w:szCs w:val="24"/>
        </w:rPr>
        <w:t xml:space="preserve"> </w:t>
      </w:r>
      <w:r w:rsidRPr="00765F31">
        <w:rPr>
          <w:rFonts w:ascii="Century Gothic" w:hAnsi="Century Gothic" w:cs="Arial"/>
          <w:sz w:val="24"/>
          <w:szCs w:val="24"/>
        </w:rPr>
        <w:t>que</w:t>
      </w:r>
      <w:r w:rsidR="00765F31" w:rsidRPr="00765F31">
        <w:rPr>
          <w:rFonts w:ascii="Century Gothic" w:hAnsi="Century Gothic" w:cs="Arial"/>
          <w:sz w:val="24"/>
          <w:szCs w:val="24"/>
        </w:rPr>
        <w:t xml:space="preserve"> </w:t>
      </w:r>
      <w:r w:rsidR="00CF766D">
        <w:rPr>
          <w:rFonts w:ascii="Century Gothic" w:hAnsi="Century Gothic" w:cs="Arial"/>
          <w:sz w:val="24"/>
          <w:szCs w:val="24"/>
        </w:rPr>
        <w:t>reforma</w:t>
      </w:r>
      <w:r w:rsidR="00BC178E">
        <w:rPr>
          <w:rFonts w:ascii="Century Gothic" w:hAnsi="Century Gothic" w:cs="Arial"/>
          <w:sz w:val="24"/>
          <w:szCs w:val="24"/>
        </w:rPr>
        <w:t xml:space="preserve"> el </w:t>
      </w:r>
      <w:r w:rsidR="00105D27">
        <w:rPr>
          <w:rFonts w:ascii="Century Gothic" w:hAnsi="Century Gothic" w:cs="Arial"/>
          <w:sz w:val="24"/>
          <w:szCs w:val="24"/>
        </w:rPr>
        <w:t>artículo</w:t>
      </w:r>
      <w:r w:rsidR="000577DD">
        <w:rPr>
          <w:rFonts w:ascii="Century Gothic" w:hAnsi="Century Gothic" w:cs="Arial"/>
          <w:sz w:val="24"/>
          <w:szCs w:val="24"/>
        </w:rPr>
        <w:t xml:space="preserve"> 1221 del</w:t>
      </w:r>
      <w:r w:rsidR="00105D27">
        <w:rPr>
          <w:rFonts w:ascii="Century Gothic" w:hAnsi="Century Gothic" w:cs="Arial"/>
          <w:sz w:val="24"/>
          <w:szCs w:val="24"/>
        </w:rPr>
        <w:t xml:space="preserve"> </w:t>
      </w:r>
      <w:r w:rsidR="00BC178E">
        <w:rPr>
          <w:rFonts w:ascii="Century Gothic" w:hAnsi="Century Gothic" w:cs="Arial"/>
          <w:sz w:val="24"/>
          <w:szCs w:val="24"/>
        </w:rPr>
        <w:t xml:space="preserve">Código </w:t>
      </w:r>
      <w:r w:rsidR="00B7238F">
        <w:rPr>
          <w:rFonts w:ascii="Century Gothic" w:hAnsi="Century Gothic" w:cs="Arial"/>
          <w:sz w:val="24"/>
          <w:szCs w:val="24"/>
        </w:rPr>
        <w:t>Civil</w:t>
      </w:r>
      <w:r w:rsidR="00BC178E">
        <w:rPr>
          <w:rFonts w:ascii="Century Gothic" w:hAnsi="Century Gothic" w:cs="Arial"/>
          <w:sz w:val="24"/>
          <w:szCs w:val="24"/>
        </w:rPr>
        <w:t xml:space="preserve"> del Estado </w:t>
      </w:r>
      <w:r w:rsidR="00B7238F">
        <w:rPr>
          <w:rFonts w:ascii="Century Gothic" w:hAnsi="Century Gothic" w:cs="Arial"/>
          <w:sz w:val="24"/>
          <w:szCs w:val="24"/>
        </w:rPr>
        <w:t xml:space="preserve">de Chihuahua </w:t>
      </w:r>
      <w:r w:rsidR="00BC178E">
        <w:rPr>
          <w:rFonts w:ascii="Century Gothic" w:hAnsi="Century Gothic" w:cs="Arial"/>
          <w:sz w:val="24"/>
          <w:szCs w:val="24"/>
        </w:rPr>
        <w:t xml:space="preserve">a fin </w:t>
      </w:r>
      <w:r w:rsidR="00B7238F">
        <w:rPr>
          <w:rFonts w:ascii="Century Gothic" w:hAnsi="Century Gothic" w:cs="Arial"/>
          <w:sz w:val="24"/>
          <w:szCs w:val="24"/>
        </w:rPr>
        <w:t>de</w:t>
      </w:r>
      <w:r w:rsidR="000153F0">
        <w:rPr>
          <w:rFonts w:ascii="Century Gothic" w:hAnsi="Century Gothic" w:cs="Arial"/>
          <w:sz w:val="24"/>
          <w:szCs w:val="24"/>
        </w:rPr>
        <w:t xml:space="preserve"> establecer </w:t>
      </w:r>
      <w:r w:rsidR="000153F0" w:rsidRPr="000153F0">
        <w:rPr>
          <w:rFonts w:ascii="Century Gothic" w:hAnsi="Century Gothic" w:cs="Arial"/>
          <w:sz w:val="24"/>
          <w:szCs w:val="24"/>
        </w:rPr>
        <w:t xml:space="preserve">la existencia de la pérdida de derechos sucesorios del sujeto activo sobre el sujeto pasivo en </w:t>
      </w:r>
      <w:r w:rsidR="00E01EFA">
        <w:rPr>
          <w:rFonts w:ascii="Century Gothic" w:hAnsi="Century Gothic" w:cs="Arial"/>
          <w:sz w:val="24"/>
          <w:szCs w:val="24"/>
        </w:rPr>
        <w:t>los delitos que impliquen</w:t>
      </w:r>
      <w:r w:rsidR="000153F0" w:rsidRPr="000153F0">
        <w:rPr>
          <w:rFonts w:ascii="Century Gothic" w:hAnsi="Century Gothic" w:cs="Arial"/>
          <w:sz w:val="24"/>
          <w:szCs w:val="24"/>
        </w:rPr>
        <w:t xml:space="preserve"> violencia de género</w:t>
      </w:r>
      <w:r w:rsidR="00105D27">
        <w:rPr>
          <w:rFonts w:ascii="Century Gothic" w:hAnsi="Century Gothic" w:cs="Arial"/>
          <w:sz w:val="24"/>
          <w:szCs w:val="24"/>
        </w:rPr>
        <w:t xml:space="preserve">, </w:t>
      </w:r>
      <w:r>
        <w:rPr>
          <w:rFonts w:ascii="Century Gothic" w:hAnsi="Century Gothic" w:cs="Arial"/>
          <w:sz w:val="24"/>
          <w:szCs w:val="24"/>
        </w:rPr>
        <w:t xml:space="preserve">lo anterior al tenor de la siguiente: </w:t>
      </w:r>
    </w:p>
    <w:p w:rsidR="006F6028" w:rsidRPr="004A40D9" w:rsidRDefault="006F6028" w:rsidP="006F6028">
      <w:pPr>
        <w:spacing w:line="360" w:lineRule="auto"/>
        <w:jc w:val="both"/>
        <w:rPr>
          <w:rFonts w:ascii="Century Gothic" w:hAnsi="Century Gothic" w:cs="Arial"/>
          <w:sz w:val="24"/>
          <w:szCs w:val="24"/>
        </w:rPr>
      </w:pPr>
    </w:p>
    <w:p w:rsidR="006F6028" w:rsidRDefault="006F6028" w:rsidP="006F6028">
      <w:pPr>
        <w:pStyle w:val="Body"/>
        <w:spacing w:line="360" w:lineRule="auto"/>
        <w:jc w:val="center"/>
        <w:rPr>
          <w:rFonts w:ascii="Century Gothic" w:hAnsi="Century Gothic" w:cs="Arial"/>
          <w:b/>
          <w:sz w:val="24"/>
          <w:szCs w:val="24"/>
        </w:rPr>
      </w:pPr>
      <w:r w:rsidRPr="00C92B21">
        <w:rPr>
          <w:rFonts w:ascii="Century Gothic" w:hAnsi="Century Gothic" w:cs="Arial"/>
          <w:b/>
          <w:sz w:val="24"/>
          <w:szCs w:val="24"/>
        </w:rPr>
        <w:t xml:space="preserve">EXPOSICIÓN DE MOTIVOS: </w:t>
      </w:r>
    </w:p>
    <w:p w:rsidR="000577DD" w:rsidRDefault="00FF658B" w:rsidP="00324158">
      <w:pPr>
        <w:pStyle w:val="Body"/>
        <w:spacing w:line="360" w:lineRule="auto"/>
        <w:jc w:val="both"/>
        <w:rPr>
          <w:rFonts w:ascii="Century Gothic" w:hAnsi="Century Gothic" w:cs="Arial"/>
          <w:sz w:val="24"/>
          <w:szCs w:val="24"/>
        </w:rPr>
      </w:pPr>
      <w:r>
        <w:rPr>
          <w:rFonts w:ascii="Century Gothic" w:hAnsi="Century Gothic" w:cs="Arial"/>
          <w:sz w:val="24"/>
          <w:szCs w:val="24"/>
        </w:rPr>
        <w:t xml:space="preserve">En el marco de la </w:t>
      </w:r>
      <w:r w:rsidR="000577DD">
        <w:rPr>
          <w:rFonts w:ascii="Century Gothic" w:hAnsi="Century Gothic" w:cs="Arial"/>
          <w:sz w:val="24"/>
          <w:szCs w:val="24"/>
        </w:rPr>
        <w:t>conmemo</w:t>
      </w:r>
      <w:r>
        <w:rPr>
          <w:rFonts w:ascii="Century Gothic" w:hAnsi="Century Gothic" w:cs="Arial"/>
          <w:sz w:val="24"/>
          <w:szCs w:val="24"/>
        </w:rPr>
        <w:t>ración d</w:t>
      </w:r>
      <w:r w:rsidR="000577DD">
        <w:rPr>
          <w:rFonts w:ascii="Century Gothic" w:hAnsi="Century Gothic" w:cs="Arial"/>
          <w:sz w:val="24"/>
          <w:szCs w:val="24"/>
        </w:rPr>
        <w:t xml:space="preserve">el </w:t>
      </w:r>
      <w:r>
        <w:rPr>
          <w:rFonts w:ascii="Century Gothic" w:hAnsi="Century Gothic" w:cs="Arial"/>
          <w:sz w:val="24"/>
          <w:szCs w:val="24"/>
        </w:rPr>
        <w:t>D</w:t>
      </w:r>
      <w:r w:rsidR="000577DD">
        <w:rPr>
          <w:rFonts w:ascii="Century Gothic" w:hAnsi="Century Gothic" w:cs="Arial"/>
          <w:sz w:val="24"/>
          <w:szCs w:val="24"/>
        </w:rPr>
        <w:t xml:space="preserve">ía </w:t>
      </w:r>
      <w:r>
        <w:rPr>
          <w:rFonts w:ascii="Century Gothic" w:hAnsi="Century Gothic" w:cs="Arial"/>
          <w:sz w:val="24"/>
          <w:szCs w:val="24"/>
        </w:rPr>
        <w:t>I</w:t>
      </w:r>
      <w:r w:rsidR="000577DD">
        <w:rPr>
          <w:rFonts w:ascii="Century Gothic" w:hAnsi="Century Gothic" w:cs="Arial"/>
          <w:sz w:val="24"/>
          <w:szCs w:val="24"/>
        </w:rPr>
        <w:t>nternacional de</w:t>
      </w:r>
      <w:r>
        <w:rPr>
          <w:rFonts w:ascii="Century Gothic" w:hAnsi="Century Gothic" w:cs="Arial"/>
          <w:sz w:val="24"/>
          <w:szCs w:val="24"/>
        </w:rPr>
        <w:t xml:space="preserve"> la Eliminación de la Violencia en contra de</w:t>
      </w:r>
      <w:r w:rsidR="000577DD">
        <w:rPr>
          <w:rFonts w:ascii="Century Gothic" w:hAnsi="Century Gothic" w:cs="Arial"/>
          <w:sz w:val="24"/>
          <w:szCs w:val="24"/>
        </w:rPr>
        <w:t xml:space="preserve"> la</w:t>
      </w:r>
      <w:r>
        <w:rPr>
          <w:rFonts w:ascii="Century Gothic" w:hAnsi="Century Gothic" w:cs="Arial"/>
          <w:sz w:val="24"/>
          <w:szCs w:val="24"/>
        </w:rPr>
        <w:t>s</w:t>
      </w:r>
      <w:r w:rsidR="000577DD">
        <w:rPr>
          <w:rFonts w:ascii="Century Gothic" w:hAnsi="Century Gothic" w:cs="Arial"/>
          <w:sz w:val="24"/>
          <w:szCs w:val="24"/>
        </w:rPr>
        <w:t xml:space="preserve"> </w:t>
      </w:r>
      <w:r>
        <w:rPr>
          <w:rFonts w:ascii="Century Gothic" w:hAnsi="Century Gothic" w:cs="Arial"/>
          <w:sz w:val="24"/>
          <w:szCs w:val="24"/>
        </w:rPr>
        <w:t>M</w:t>
      </w:r>
      <w:r w:rsidR="000577DD">
        <w:rPr>
          <w:rFonts w:ascii="Century Gothic" w:hAnsi="Century Gothic" w:cs="Arial"/>
          <w:sz w:val="24"/>
          <w:szCs w:val="24"/>
        </w:rPr>
        <w:t>ujer</w:t>
      </w:r>
      <w:r>
        <w:rPr>
          <w:rFonts w:ascii="Century Gothic" w:hAnsi="Century Gothic" w:cs="Arial"/>
          <w:sz w:val="24"/>
          <w:szCs w:val="24"/>
        </w:rPr>
        <w:t>es</w:t>
      </w:r>
      <w:r w:rsidR="000577DD">
        <w:rPr>
          <w:rFonts w:ascii="Century Gothic" w:hAnsi="Century Gothic" w:cs="Arial"/>
          <w:sz w:val="24"/>
          <w:szCs w:val="24"/>
        </w:rPr>
        <w:t xml:space="preserve">, </w:t>
      </w:r>
      <w:r>
        <w:rPr>
          <w:rFonts w:ascii="Century Gothic" w:hAnsi="Century Gothic" w:cs="Arial"/>
          <w:sz w:val="24"/>
          <w:szCs w:val="24"/>
        </w:rPr>
        <w:t>es importante revisar los avances y retos que aún tenemos para que las mujeres</w:t>
      </w:r>
      <w:r w:rsidR="008C265F">
        <w:rPr>
          <w:rFonts w:ascii="Century Gothic" w:hAnsi="Century Gothic" w:cs="Arial"/>
          <w:sz w:val="24"/>
          <w:szCs w:val="24"/>
        </w:rPr>
        <w:t xml:space="preserve"> </w:t>
      </w:r>
      <w:r>
        <w:rPr>
          <w:rFonts w:ascii="Century Gothic" w:hAnsi="Century Gothic" w:cs="Arial"/>
          <w:sz w:val="24"/>
          <w:szCs w:val="24"/>
        </w:rPr>
        <w:t xml:space="preserve">podamos asegurar que tenemos una vida libre de violencia. </w:t>
      </w:r>
    </w:p>
    <w:p w:rsidR="00FF658B" w:rsidRDefault="00FF658B" w:rsidP="00324158">
      <w:pPr>
        <w:pStyle w:val="Body"/>
        <w:spacing w:line="360" w:lineRule="auto"/>
        <w:jc w:val="both"/>
        <w:rPr>
          <w:rFonts w:ascii="Century Gothic" w:hAnsi="Century Gothic" w:cs="Arial"/>
          <w:sz w:val="24"/>
          <w:szCs w:val="24"/>
        </w:rPr>
      </w:pPr>
      <w:r>
        <w:rPr>
          <w:rFonts w:ascii="Century Gothic" w:hAnsi="Century Gothic" w:cs="Arial"/>
          <w:sz w:val="24"/>
          <w:szCs w:val="24"/>
        </w:rPr>
        <w:t>La lucha de las hermanas Mirabal continúa vigente, hoy a 60 años</w:t>
      </w:r>
      <w:r w:rsidR="008C265F">
        <w:rPr>
          <w:rFonts w:ascii="Century Gothic" w:hAnsi="Century Gothic" w:cs="Arial"/>
          <w:sz w:val="24"/>
          <w:szCs w:val="24"/>
        </w:rPr>
        <w:t xml:space="preserve"> de su brutal asesinato, observamos</w:t>
      </w:r>
      <w:r w:rsidR="007105F8">
        <w:rPr>
          <w:rFonts w:ascii="Century Gothic" w:hAnsi="Century Gothic" w:cs="Arial"/>
          <w:sz w:val="24"/>
          <w:szCs w:val="24"/>
        </w:rPr>
        <w:t xml:space="preserve"> </w:t>
      </w:r>
      <w:r w:rsidR="008C265F">
        <w:rPr>
          <w:rFonts w:ascii="Century Gothic" w:hAnsi="Century Gothic" w:cs="Arial"/>
          <w:sz w:val="24"/>
          <w:szCs w:val="24"/>
        </w:rPr>
        <w:t>la continuidad de</w:t>
      </w:r>
      <w:r w:rsidR="007105F8">
        <w:rPr>
          <w:rFonts w:ascii="Century Gothic" w:hAnsi="Century Gothic" w:cs="Arial"/>
          <w:sz w:val="24"/>
          <w:szCs w:val="24"/>
        </w:rPr>
        <w:t xml:space="preserve"> su</w:t>
      </w:r>
      <w:r w:rsidR="008C265F">
        <w:rPr>
          <w:rFonts w:ascii="Century Gothic" w:hAnsi="Century Gothic" w:cs="Arial"/>
          <w:sz w:val="24"/>
          <w:szCs w:val="24"/>
        </w:rPr>
        <w:t xml:space="preserve"> lucha en cada una de </w:t>
      </w:r>
      <w:r w:rsidR="008C265F">
        <w:rPr>
          <w:rFonts w:ascii="Century Gothic" w:hAnsi="Century Gothic" w:cs="Arial"/>
          <w:sz w:val="24"/>
          <w:szCs w:val="24"/>
        </w:rPr>
        <w:lastRenderedPageBreak/>
        <w:t xml:space="preserve">las mujeres que día con día desde su trinchera </w:t>
      </w:r>
      <w:r w:rsidR="007105F8">
        <w:rPr>
          <w:rFonts w:ascii="Century Gothic" w:hAnsi="Century Gothic" w:cs="Arial"/>
          <w:sz w:val="24"/>
          <w:szCs w:val="24"/>
        </w:rPr>
        <w:t xml:space="preserve">exigen el respeto de sus derechos y la igualdad de oportunidades. </w:t>
      </w:r>
    </w:p>
    <w:p w:rsidR="00324158" w:rsidRDefault="000B7CB0" w:rsidP="00FD09B9">
      <w:pPr>
        <w:pStyle w:val="Body"/>
        <w:spacing w:line="360" w:lineRule="auto"/>
        <w:jc w:val="both"/>
        <w:rPr>
          <w:rFonts w:ascii="Century Gothic" w:hAnsi="Century Gothic" w:cs="Arial"/>
          <w:sz w:val="24"/>
          <w:szCs w:val="24"/>
        </w:rPr>
      </w:pPr>
      <w:r>
        <w:rPr>
          <w:rFonts w:ascii="Century Gothic" w:hAnsi="Century Gothic" w:cs="Arial"/>
          <w:sz w:val="24"/>
          <w:szCs w:val="24"/>
        </w:rPr>
        <w:t xml:space="preserve">Es importante resaltar que </w:t>
      </w:r>
      <w:r w:rsidR="00FD09B9">
        <w:rPr>
          <w:rFonts w:ascii="Century Gothic" w:hAnsi="Century Gothic" w:cs="Arial"/>
          <w:sz w:val="24"/>
          <w:szCs w:val="24"/>
        </w:rPr>
        <w:t xml:space="preserve">además de velar por que se garantice </w:t>
      </w:r>
      <w:r>
        <w:rPr>
          <w:rFonts w:ascii="Century Gothic" w:hAnsi="Century Gothic" w:cs="Arial"/>
          <w:sz w:val="24"/>
          <w:szCs w:val="24"/>
        </w:rPr>
        <w:t>e</w:t>
      </w:r>
      <w:r w:rsidR="00324158">
        <w:rPr>
          <w:rFonts w:ascii="Century Gothic" w:hAnsi="Century Gothic" w:cs="Arial"/>
          <w:sz w:val="24"/>
          <w:szCs w:val="24"/>
        </w:rPr>
        <w:t>l acceso a la justicia a las mujeres</w:t>
      </w:r>
      <w:r w:rsidR="00FD09B9">
        <w:rPr>
          <w:rFonts w:ascii="Century Gothic" w:hAnsi="Century Gothic" w:cs="Arial"/>
          <w:sz w:val="24"/>
          <w:szCs w:val="24"/>
        </w:rPr>
        <w:t xml:space="preserve"> también las autoridades tenemos la responsabilidad de procurar que éste sea</w:t>
      </w:r>
      <w:r w:rsidR="00324158">
        <w:rPr>
          <w:rFonts w:ascii="Century Gothic" w:hAnsi="Century Gothic" w:cs="Arial"/>
          <w:sz w:val="24"/>
          <w:szCs w:val="24"/>
        </w:rPr>
        <w:t xml:space="preserve"> integral,</w:t>
      </w:r>
      <w:r w:rsidR="007646C7">
        <w:rPr>
          <w:rFonts w:ascii="Century Gothic" w:hAnsi="Century Gothic" w:cs="Arial"/>
          <w:sz w:val="24"/>
          <w:szCs w:val="24"/>
        </w:rPr>
        <w:t xml:space="preserve"> es decir, atender cada una de las necesidades que las víctimas requieren para sobrellevar el episodio o episodios violentos en su contra. </w:t>
      </w:r>
    </w:p>
    <w:p w:rsidR="00A93EFF" w:rsidRDefault="00A93EFF" w:rsidP="00FD09B9">
      <w:pPr>
        <w:pStyle w:val="Body"/>
        <w:spacing w:line="360" w:lineRule="auto"/>
        <w:jc w:val="both"/>
        <w:rPr>
          <w:rFonts w:ascii="Century Gothic" w:hAnsi="Century Gothic" w:cs="Arial"/>
          <w:sz w:val="24"/>
          <w:szCs w:val="24"/>
        </w:rPr>
      </w:pPr>
      <w:r>
        <w:rPr>
          <w:rFonts w:ascii="Century Gothic" w:hAnsi="Century Gothic" w:cs="Arial"/>
          <w:sz w:val="24"/>
          <w:szCs w:val="24"/>
        </w:rPr>
        <w:t xml:space="preserve">En este sentido, la mejor forma de combatir la violencia de género es continuar mejorando nuestras leyes para que desde el derecho sustantivo, se establezcan mecanismos de prevención, atención y erradicación de todas las formas de violencia en contra de las mujeres. </w:t>
      </w:r>
    </w:p>
    <w:p w:rsidR="00A93EFF" w:rsidRDefault="00A93EFF" w:rsidP="00FD09B9">
      <w:pPr>
        <w:pStyle w:val="Body"/>
        <w:spacing w:line="360" w:lineRule="auto"/>
        <w:jc w:val="both"/>
        <w:rPr>
          <w:rFonts w:ascii="Century Gothic" w:hAnsi="Century Gothic"/>
          <w:sz w:val="24"/>
          <w:szCs w:val="24"/>
        </w:rPr>
      </w:pPr>
      <w:r>
        <w:rPr>
          <w:rFonts w:ascii="Century Gothic" w:hAnsi="Century Gothic" w:cs="Arial"/>
          <w:sz w:val="24"/>
          <w:szCs w:val="24"/>
        </w:rPr>
        <w:t xml:space="preserve">Al respecto, a partir de </w:t>
      </w:r>
      <w:r w:rsidRPr="006306EA">
        <w:rPr>
          <w:rFonts w:ascii="Century Gothic" w:hAnsi="Century Gothic"/>
          <w:sz w:val="24"/>
          <w:szCs w:val="24"/>
        </w:rPr>
        <w:t>la Declaración sobre la Eliminación de la Violencia contra la Mujer (1993), los paí</w:t>
      </w:r>
      <w:r>
        <w:rPr>
          <w:rFonts w:ascii="Century Gothic" w:hAnsi="Century Gothic"/>
          <w:sz w:val="24"/>
          <w:szCs w:val="24"/>
        </w:rPr>
        <w:t>ses han</w:t>
      </w:r>
      <w:r w:rsidRPr="006306EA">
        <w:rPr>
          <w:rFonts w:ascii="Century Gothic" w:hAnsi="Century Gothic"/>
          <w:sz w:val="24"/>
          <w:szCs w:val="24"/>
        </w:rPr>
        <w:t xml:space="preserve"> </w:t>
      </w:r>
      <w:r w:rsidR="00B95ABE">
        <w:rPr>
          <w:rFonts w:ascii="Century Gothic" w:hAnsi="Century Gothic"/>
          <w:sz w:val="24"/>
          <w:szCs w:val="24"/>
        </w:rPr>
        <w:t xml:space="preserve">encaminado esfuerzos para </w:t>
      </w:r>
      <w:r>
        <w:rPr>
          <w:rFonts w:ascii="Century Gothic" w:hAnsi="Century Gothic"/>
          <w:sz w:val="24"/>
          <w:szCs w:val="24"/>
        </w:rPr>
        <w:t>establec</w:t>
      </w:r>
      <w:r w:rsidR="00B95ABE">
        <w:rPr>
          <w:rFonts w:ascii="Century Gothic" w:hAnsi="Century Gothic"/>
          <w:sz w:val="24"/>
          <w:szCs w:val="24"/>
        </w:rPr>
        <w:t xml:space="preserve">er y mejorar </w:t>
      </w:r>
      <w:r>
        <w:rPr>
          <w:rFonts w:ascii="Century Gothic" w:hAnsi="Century Gothic"/>
          <w:sz w:val="24"/>
          <w:szCs w:val="24"/>
        </w:rPr>
        <w:t xml:space="preserve">su legislación </w:t>
      </w:r>
      <w:r w:rsidR="00B95ABE">
        <w:rPr>
          <w:rFonts w:ascii="Century Gothic" w:hAnsi="Century Gothic"/>
          <w:sz w:val="24"/>
          <w:szCs w:val="24"/>
        </w:rPr>
        <w:t xml:space="preserve">con el objetivo de </w:t>
      </w:r>
      <w:r>
        <w:rPr>
          <w:rFonts w:ascii="Century Gothic" w:hAnsi="Century Gothic"/>
          <w:sz w:val="24"/>
          <w:szCs w:val="24"/>
        </w:rPr>
        <w:t>brindar</w:t>
      </w:r>
      <w:r w:rsidRPr="006306EA">
        <w:rPr>
          <w:rFonts w:ascii="Century Gothic" w:hAnsi="Century Gothic"/>
          <w:sz w:val="24"/>
          <w:szCs w:val="24"/>
        </w:rPr>
        <w:t xml:space="preserve"> protección </w:t>
      </w:r>
      <w:r w:rsidR="00B95ABE">
        <w:rPr>
          <w:rFonts w:ascii="Century Gothic" w:hAnsi="Century Gothic"/>
          <w:sz w:val="24"/>
          <w:szCs w:val="24"/>
        </w:rPr>
        <w:t xml:space="preserve">a </w:t>
      </w:r>
      <w:r w:rsidRPr="006306EA">
        <w:rPr>
          <w:rFonts w:ascii="Century Gothic" w:hAnsi="Century Gothic"/>
          <w:sz w:val="24"/>
          <w:szCs w:val="24"/>
        </w:rPr>
        <w:t>las mujeres, adolescentes y niñas.</w:t>
      </w:r>
    </w:p>
    <w:p w:rsidR="00B95ABE" w:rsidRDefault="00B95ABE" w:rsidP="00FD09B9">
      <w:pPr>
        <w:pStyle w:val="Body"/>
        <w:spacing w:line="360" w:lineRule="auto"/>
        <w:jc w:val="both"/>
        <w:rPr>
          <w:rFonts w:ascii="Century Gothic" w:hAnsi="Century Gothic"/>
          <w:sz w:val="24"/>
          <w:szCs w:val="24"/>
        </w:rPr>
      </w:pPr>
      <w:r>
        <w:rPr>
          <w:rFonts w:ascii="Century Gothic" w:hAnsi="Century Gothic"/>
          <w:sz w:val="24"/>
          <w:szCs w:val="24"/>
        </w:rPr>
        <w:t>Sin embargo, hay un largo camino aún por recorrer para poder aseverar que en México se protege y fomenta la igualdad de género y que se garantiza el respeto de los derechos de las mujeres.</w:t>
      </w:r>
    </w:p>
    <w:p w:rsidR="00106FB9" w:rsidRDefault="00106FB9" w:rsidP="00FD09B9">
      <w:pPr>
        <w:pStyle w:val="Body"/>
        <w:spacing w:line="360" w:lineRule="auto"/>
        <w:jc w:val="both"/>
        <w:rPr>
          <w:rFonts w:ascii="Century Gothic" w:hAnsi="Century Gothic"/>
          <w:sz w:val="24"/>
          <w:szCs w:val="24"/>
        </w:rPr>
      </w:pPr>
      <w:r>
        <w:rPr>
          <w:rFonts w:ascii="Century Gothic" w:hAnsi="Century Gothic"/>
          <w:sz w:val="24"/>
          <w:szCs w:val="24"/>
        </w:rPr>
        <w:t>Según cifras del Secretariado Ejecutivo del Sistema Nacional de Seguridad Pública, hasta el mes de octubre se registraron un total de 777 casos de feminicidios en el país, mientras que en nuestra entidad, en este mismo periodo de tiempo la cifra ascendió a 29 de estos casos.</w:t>
      </w:r>
      <w:r>
        <w:rPr>
          <w:rStyle w:val="Refdenotaalpie"/>
          <w:rFonts w:ascii="Century Gothic" w:hAnsi="Century Gothic"/>
          <w:sz w:val="24"/>
          <w:szCs w:val="24"/>
        </w:rPr>
        <w:footnoteReference w:id="1"/>
      </w:r>
    </w:p>
    <w:p w:rsidR="00606F80" w:rsidRDefault="00606F80" w:rsidP="00FD09B9">
      <w:pPr>
        <w:pStyle w:val="Body"/>
        <w:spacing w:line="360" w:lineRule="auto"/>
        <w:jc w:val="both"/>
        <w:rPr>
          <w:rFonts w:ascii="Century Gothic" w:hAnsi="Century Gothic"/>
          <w:sz w:val="24"/>
          <w:szCs w:val="24"/>
        </w:rPr>
      </w:pPr>
    </w:p>
    <w:p w:rsidR="00E94801" w:rsidRDefault="00E94801" w:rsidP="00FD09B9">
      <w:pPr>
        <w:pStyle w:val="Body"/>
        <w:spacing w:line="360" w:lineRule="auto"/>
        <w:jc w:val="both"/>
        <w:rPr>
          <w:rFonts w:ascii="Century Gothic" w:hAnsi="Century Gothic"/>
          <w:sz w:val="24"/>
          <w:szCs w:val="24"/>
        </w:rPr>
      </w:pPr>
      <w:r>
        <w:rPr>
          <w:rFonts w:ascii="Century Gothic" w:hAnsi="Century Gothic"/>
          <w:sz w:val="24"/>
          <w:szCs w:val="24"/>
        </w:rPr>
        <w:t xml:space="preserve">Así mismo, se reporta una incidencia del delito de violencia familiar a nivel nacional de 184 mil 462, y en Chihuahua los casos ascienden a 9,801 casos en lo que va del año. </w:t>
      </w:r>
    </w:p>
    <w:p w:rsidR="00B95ABE" w:rsidRDefault="00F964EC" w:rsidP="00FD09B9">
      <w:pPr>
        <w:pStyle w:val="Body"/>
        <w:spacing w:line="360" w:lineRule="auto"/>
        <w:jc w:val="both"/>
        <w:rPr>
          <w:rFonts w:ascii="Century Gothic" w:hAnsi="Century Gothic"/>
          <w:sz w:val="24"/>
          <w:szCs w:val="24"/>
        </w:rPr>
      </w:pPr>
      <w:r>
        <w:rPr>
          <w:rFonts w:ascii="Century Gothic" w:hAnsi="Century Gothic"/>
          <w:sz w:val="24"/>
          <w:szCs w:val="24"/>
        </w:rPr>
        <w:t xml:space="preserve">Lamentablemente, durante esta pandemia, el confinamiento trajo como consecuencia que la violencia en contra de las mujeres aumentara en un 60% a nivel nacional, según datos de la Red de Refugios. </w:t>
      </w:r>
    </w:p>
    <w:p w:rsidR="00B95ABE" w:rsidRDefault="00F964EC" w:rsidP="00FD09B9">
      <w:pPr>
        <w:pStyle w:val="Body"/>
        <w:spacing w:line="360" w:lineRule="auto"/>
        <w:jc w:val="both"/>
        <w:rPr>
          <w:rFonts w:ascii="Century Gothic" w:hAnsi="Century Gothic" w:cs="Arial"/>
          <w:sz w:val="24"/>
          <w:szCs w:val="24"/>
        </w:rPr>
      </w:pPr>
      <w:r>
        <w:rPr>
          <w:rFonts w:ascii="Century Gothic" w:hAnsi="Century Gothic" w:cs="Arial"/>
          <w:sz w:val="24"/>
          <w:szCs w:val="24"/>
        </w:rPr>
        <w:t>Los pendientes</w:t>
      </w:r>
      <w:r w:rsidR="00C151B9">
        <w:rPr>
          <w:rFonts w:ascii="Century Gothic" w:hAnsi="Century Gothic" w:cs="Arial"/>
          <w:sz w:val="24"/>
          <w:szCs w:val="24"/>
        </w:rPr>
        <w:t xml:space="preserve"> que las autoridades tenemos con las mujeres, adolescentes y niñas en nuestro país aún son muchos. No podemos frenar la marcha ni retroceder, menos en tiempos en donde no solo el virus de COVID-19 quita  muchas vidas, sino en donde la pandemia de la violencia de género mata a más mujeres sin salir de sus hogares. </w:t>
      </w:r>
    </w:p>
    <w:p w:rsidR="00C151B9" w:rsidRDefault="00C151B9" w:rsidP="00FD09B9">
      <w:pPr>
        <w:pStyle w:val="Body"/>
        <w:spacing w:line="360" w:lineRule="auto"/>
        <w:jc w:val="both"/>
        <w:rPr>
          <w:rFonts w:ascii="Century Gothic" w:hAnsi="Century Gothic" w:cs="Aparajita"/>
          <w:sz w:val="24"/>
          <w:szCs w:val="24"/>
        </w:rPr>
      </w:pPr>
      <w:r>
        <w:rPr>
          <w:rFonts w:ascii="Century Gothic" w:hAnsi="Century Gothic" w:cs="Arial"/>
          <w:sz w:val="24"/>
          <w:szCs w:val="24"/>
        </w:rPr>
        <w:t>Los desafíos en materia legislativa que nuestro estado tiene, aún son muchos, según el documento de la Comisión Nacional de Derechos Humanos, titulado “P</w:t>
      </w:r>
      <w:r w:rsidRPr="00C151B9">
        <w:rPr>
          <w:rFonts w:ascii="Century Gothic" w:hAnsi="Century Gothic" w:cs="Aparajita"/>
          <w:sz w:val="24"/>
          <w:szCs w:val="24"/>
        </w:rPr>
        <w:t>rincipales retos legislativos en materia de igualdad, no discriminación y no v</w:t>
      </w:r>
      <w:r>
        <w:rPr>
          <w:rFonts w:ascii="Century Gothic" w:hAnsi="Century Gothic" w:cs="Aparajita"/>
          <w:sz w:val="24"/>
          <w:szCs w:val="24"/>
        </w:rPr>
        <w:t>iolencia contra las mujeres en M</w:t>
      </w:r>
      <w:r w:rsidRPr="00C151B9">
        <w:rPr>
          <w:rFonts w:ascii="Century Gothic" w:hAnsi="Century Gothic" w:cs="Aparajita"/>
          <w:sz w:val="24"/>
          <w:szCs w:val="24"/>
        </w:rPr>
        <w:t>éxico</w:t>
      </w:r>
      <w:r>
        <w:rPr>
          <w:rFonts w:ascii="Century Gothic" w:hAnsi="Century Gothic" w:cs="Aparajita"/>
          <w:sz w:val="24"/>
          <w:szCs w:val="24"/>
        </w:rPr>
        <w:t xml:space="preserve">”, </w:t>
      </w:r>
      <w:r w:rsidRPr="00C151B9">
        <w:rPr>
          <w:rFonts w:ascii="Century Gothic" w:hAnsi="Century Gothic" w:cs="Aparajita"/>
          <w:sz w:val="24"/>
          <w:szCs w:val="24"/>
        </w:rPr>
        <w:t xml:space="preserve">Chihuahua se encuentra en los últimos lugares de </w:t>
      </w:r>
      <w:r>
        <w:rPr>
          <w:rFonts w:ascii="Century Gothic" w:hAnsi="Century Gothic" w:cs="Aparajita"/>
          <w:sz w:val="24"/>
          <w:szCs w:val="24"/>
        </w:rPr>
        <w:t xml:space="preserve">avances legislativos, según se establece, </w:t>
      </w:r>
      <w:r w:rsidRPr="00C151B9">
        <w:rPr>
          <w:rFonts w:ascii="Century Gothic" w:hAnsi="Century Gothic" w:cs="Aparajita"/>
          <w:sz w:val="24"/>
          <w:szCs w:val="24"/>
        </w:rPr>
        <w:t>el índice de avances legislativos respecto al derecho a una vida libre de violencia es el más bajo con un avance de 0.42, seguido del índice respecto a los derechos sexuales y reproductivo</w:t>
      </w:r>
      <w:r>
        <w:rPr>
          <w:rFonts w:ascii="Century Gothic" w:hAnsi="Century Gothic" w:cs="Aparajita"/>
          <w:sz w:val="24"/>
          <w:szCs w:val="24"/>
        </w:rPr>
        <w:t xml:space="preserve">s </w:t>
      </w:r>
      <w:r w:rsidRPr="00C151B9">
        <w:rPr>
          <w:rFonts w:ascii="Century Gothic" w:hAnsi="Century Gothic" w:cs="Aparajita"/>
          <w:sz w:val="24"/>
          <w:szCs w:val="24"/>
        </w:rPr>
        <w:t>con un0.43, y finalmente, respecto al derecho a la igualdad y no discriminación con un avance de 0.64.</w:t>
      </w:r>
      <w:r w:rsidR="00606F80">
        <w:rPr>
          <w:rStyle w:val="Refdenotaalpie"/>
          <w:rFonts w:ascii="Century Gothic" w:hAnsi="Century Gothic" w:cs="Aparajita"/>
          <w:sz w:val="24"/>
          <w:szCs w:val="24"/>
        </w:rPr>
        <w:footnoteReference w:id="2"/>
      </w:r>
    </w:p>
    <w:p w:rsidR="00606F80" w:rsidRDefault="00606F80" w:rsidP="00FD09B9">
      <w:pPr>
        <w:pStyle w:val="Body"/>
        <w:spacing w:line="360" w:lineRule="auto"/>
        <w:jc w:val="both"/>
        <w:rPr>
          <w:rFonts w:ascii="Century Gothic" w:hAnsi="Century Gothic" w:cs="Aparajita"/>
          <w:sz w:val="24"/>
          <w:szCs w:val="24"/>
        </w:rPr>
      </w:pPr>
    </w:p>
    <w:p w:rsidR="00606F80" w:rsidRDefault="00606F80" w:rsidP="00FD09B9">
      <w:pPr>
        <w:pStyle w:val="Body"/>
        <w:spacing w:line="360" w:lineRule="auto"/>
        <w:jc w:val="both"/>
        <w:rPr>
          <w:rFonts w:ascii="Century Gothic" w:hAnsi="Century Gothic" w:cs="Aparajita"/>
          <w:sz w:val="24"/>
          <w:szCs w:val="24"/>
        </w:rPr>
      </w:pPr>
    </w:p>
    <w:p w:rsidR="00C151B9" w:rsidRDefault="00C151B9" w:rsidP="00FD09B9">
      <w:pPr>
        <w:pStyle w:val="Body"/>
        <w:spacing w:line="360" w:lineRule="auto"/>
        <w:jc w:val="both"/>
        <w:rPr>
          <w:rFonts w:ascii="Arial" w:hAnsi="Arial" w:cs="Arial"/>
          <w:sz w:val="14"/>
          <w:szCs w:val="14"/>
        </w:rPr>
      </w:pPr>
      <w:r>
        <w:rPr>
          <w:rFonts w:ascii="Century Gothic" w:hAnsi="Century Gothic" w:cs="Aparajita"/>
          <w:sz w:val="24"/>
          <w:szCs w:val="24"/>
        </w:rPr>
        <w:t xml:space="preserve">En este sentido, uno de los </w:t>
      </w:r>
      <w:r w:rsidR="00302C67">
        <w:rPr>
          <w:rFonts w:ascii="Century Gothic" w:hAnsi="Century Gothic" w:cs="Aparajita"/>
          <w:sz w:val="24"/>
          <w:szCs w:val="24"/>
        </w:rPr>
        <w:t xml:space="preserve">ejes que aún falta establecer en nuestra normativa del orden civil, </w:t>
      </w:r>
      <w:r w:rsidR="005C4A5C">
        <w:rPr>
          <w:rFonts w:ascii="Century Gothic" w:hAnsi="Century Gothic" w:cs="Aparajita"/>
          <w:sz w:val="24"/>
          <w:szCs w:val="24"/>
        </w:rPr>
        <w:t xml:space="preserve">es </w:t>
      </w:r>
      <w:r w:rsidR="00302C67" w:rsidRPr="00302C67">
        <w:rPr>
          <w:rFonts w:ascii="Century Gothic" w:hAnsi="Century Gothic" w:cs="Aparajita"/>
          <w:sz w:val="24"/>
          <w:szCs w:val="24"/>
        </w:rPr>
        <w:t>la e</w:t>
      </w:r>
      <w:r w:rsidR="00302C67" w:rsidRPr="00302C67">
        <w:rPr>
          <w:rFonts w:ascii="Century Gothic" w:hAnsi="Century Gothic" w:cs="Arial"/>
          <w:sz w:val="24"/>
          <w:szCs w:val="24"/>
        </w:rPr>
        <w:t>xistencia de la pérdida de derechos suceso</w:t>
      </w:r>
      <w:r w:rsidR="00302C67">
        <w:rPr>
          <w:rFonts w:ascii="Century Gothic" w:hAnsi="Century Gothic" w:cs="Arial"/>
          <w:sz w:val="24"/>
          <w:szCs w:val="24"/>
        </w:rPr>
        <w:t xml:space="preserve">rios del sujeto activo sobre el </w:t>
      </w:r>
      <w:r w:rsidR="00302C67" w:rsidRPr="00302C67">
        <w:rPr>
          <w:rFonts w:ascii="Century Gothic" w:hAnsi="Century Gothic" w:cs="Arial"/>
          <w:sz w:val="24"/>
          <w:szCs w:val="24"/>
        </w:rPr>
        <w:t>sujeto pasivo ante la comisión del delito de feminicidio.</w:t>
      </w:r>
      <w:r w:rsidR="00302C67">
        <w:rPr>
          <w:rFonts w:ascii="Arial" w:hAnsi="Arial" w:cs="Arial"/>
          <w:sz w:val="14"/>
          <w:szCs w:val="14"/>
        </w:rPr>
        <w:t xml:space="preserve"> </w:t>
      </w:r>
    </w:p>
    <w:p w:rsidR="00E2233B" w:rsidRDefault="005C4A5C" w:rsidP="00E2233B">
      <w:pPr>
        <w:spacing w:line="360" w:lineRule="auto"/>
        <w:jc w:val="both"/>
        <w:rPr>
          <w:rFonts w:ascii="Century Gothic" w:hAnsi="Century Gothic"/>
          <w:sz w:val="24"/>
          <w:szCs w:val="24"/>
        </w:rPr>
      </w:pPr>
      <w:r>
        <w:rPr>
          <w:rFonts w:ascii="Century Gothic" w:hAnsi="Century Gothic" w:cs="Aparajita"/>
          <w:sz w:val="24"/>
          <w:szCs w:val="24"/>
        </w:rPr>
        <w:t>Cabe señalar que actualmente el Código Civil del Estado de Chihuahua en su artículo 1219</w:t>
      </w:r>
      <w:r w:rsidR="00E41D33">
        <w:rPr>
          <w:rFonts w:ascii="Century Gothic" w:hAnsi="Century Gothic" w:cs="Aparajita"/>
          <w:sz w:val="24"/>
          <w:szCs w:val="24"/>
        </w:rPr>
        <w:t xml:space="preserve"> establece las causales de incapacidad para heredar ya sea </w:t>
      </w:r>
      <w:r w:rsidR="00E2233B">
        <w:rPr>
          <w:rFonts w:ascii="Century Gothic" w:hAnsi="Century Gothic"/>
          <w:sz w:val="24"/>
          <w:szCs w:val="24"/>
        </w:rPr>
        <w:t xml:space="preserve">por testamento o por intestado, encontrándose entre ellas: </w:t>
      </w:r>
      <w:r w:rsidR="00E2233B" w:rsidRPr="00D7770F">
        <w:rPr>
          <w:rFonts w:ascii="Century Gothic" w:hAnsi="Century Gothic"/>
          <w:sz w:val="24"/>
          <w:szCs w:val="24"/>
        </w:rPr>
        <w:t>El que haya sido condenado por haber dado, mandado o intentado dar muerte a la persona de cuya sucesión se trate, por un delito que merezca pena de prisión cometido contra el autor de la sucesión,</w:t>
      </w:r>
      <w:r w:rsidR="00E2233B">
        <w:rPr>
          <w:rFonts w:ascii="Century Gothic" w:hAnsi="Century Gothic"/>
          <w:sz w:val="24"/>
          <w:szCs w:val="24"/>
        </w:rPr>
        <w:t xml:space="preserve"> así como </w:t>
      </w:r>
      <w:r w:rsidR="00E2233B" w:rsidRPr="00D7770F">
        <w:rPr>
          <w:rFonts w:ascii="Century Gothic" w:hAnsi="Century Gothic"/>
          <w:sz w:val="24"/>
          <w:szCs w:val="24"/>
        </w:rPr>
        <w:t>por delito doloso cometido en contra del autor de la herencia</w:t>
      </w:r>
      <w:r w:rsidR="00E2233B">
        <w:rPr>
          <w:rFonts w:ascii="Century Gothic" w:hAnsi="Century Gothic"/>
          <w:sz w:val="24"/>
          <w:szCs w:val="24"/>
        </w:rPr>
        <w:t xml:space="preserve">. </w:t>
      </w:r>
    </w:p>
    <w:p w:rsidR="00E2233B" w:rsidRDefault="00E2233B" w:rsidP="00E2233B">
      <w:pPr>
        <w:spacing w:line="360" w:lineRule="auto"/>
        <w:jc w:val="both"/>
        <w:rPr>
          <w:rFonts w:ascii="Century Gothic" w:hAnsi="Century Gothic"/>
          <w:sz w:val="24"/>
          <w:szCs w:val="24"/>
        </w:rPr>
      </w:pPr>
      <w:r>
        <w:rPr>
          <w:rFonts w:ascii="Century Gothic" w:hAnsi="Century Gothic"/>
          <w:sz w:val="24"/>
          <w:szCs w:val="24"/>
        </w:rPr>
        <w:t>Pareciera que dentro de las hipótesis del artículo en mención, un feminicida perdería la capacidad de heredar, incluso aquella persona que hubiese cometido violencia familiar, no obstant</w:t>
      </w:r>
      <w:r w:rsidR="00EA4B52">
        <w:rPr>
          <w:rFonts w:ascii="Century Gothic" w:hAnsi="Century Gothic"/>
          <w:sz w:val="24"/>
          <w:szCs w:val="24"/>
        </w:rPr>
        <w:t>e</w:t>
      </w:r>
      <w:r>
        <w:rPr>
          <w:rFonts w:ascii="Century Gothic" w:hAnsi="Century Gothic"/>
          <w:sz w:val="24"/>
          <w:szCs w:val="24"/>
        </w:rPr>
        <w:t xml:space="preserve">, en el artículo 1221 del mismo código se dispone: </w:t>
      </w:r>
    </w:p>
    <w:p w:rsidR="00EA4B52" w:rsidRPr="00EA4B52" w:rsidRDefault="00EA4B52" w:rsidP="00EA4B52">
      <w:pPr>
        <w:spacing w:line="360" w:lineRule="auto"/>
        <w:ind w:left="708"/>
        <w:jc w:val="both"/>
        <w:rPr>
          <w:rFonts w:ascii="Century Gothic" w:hAnsi="Century Gothic"/>
          <w:i/>
          <w:sz w:val="20"/>
          <w:szCs w:val="24"/>
        </w:rPr>
      </w:pPr>
      <w:r w:rsidRPr="00EA4B52">
        <w:rPr>
          <w:rFonts w:ascii="Century Gothic" w:hAnsi="Century Gothic" w:cs="Arial"/>
          <w:i/>
          <w:szCs w:val="25"/>
        </w:rPr>
        <w:t xml:space="preserve">ARTÍCULO </w:t>
      </w:r>
      <w:r w:rsidRPr="00EA4B52">
        <w:rPr>
          <w:rStyle w:val="highlight"/>
          <w:rFonts w:ascii="Century Gothic" w:hAnsi="Century Gothic" w:cs="Arial"/>
          <w:i/>
          <w:szCs w:val="25"/>
        </w:rPr>
        <w:t>1221</w:t>
      </w:r>
      <w:r w:rsidRPr="00EA4B52">
        <w:rPr>
          <w:rFonts w:ascii="Century Gothic" w:hAnsi="Century Gothic" w:cs="Arial"/>
          <w:i/>
          <w:szCs w:val="25"/>
        </w:rPr>
        <w:t>.Cuando la parte agraviada, en cualquiera de los</w:t>
      </w:r>
      <w:r>
        <w:rPr>
          <w:rFonts w:ascii="Century Gothic" w:hAnsi="Century Gothic" w:cs="Arial"/>
          <w:i/>
          <w:szCs w:val="25"/>
        </w:rPr>
        <w:t xml:space="preserve"> </w:t>
      </w:r>
      <w:r w:rsidRPr="00EA4B52">
        <w:rPr>
          <w:rFonts w:ascii="Century Gothic" w:hAnsi="Century Gothic" w:cs="Arial"/>
          <w:i/>
          <w:szCs w:val="25"/>
        </w:rPr>
        <w:t>casos</w:t>
      </w:r>
      <w:r>
        <w:rPr>
          <w:rFonts w:ascii="Century Gothic" w:hAnsi="Century Gothic" w:cs="Arial"/>
          <w:i/>
          <w:szCs w:val="25"/>
        </w:rPr>
        <w:t xml:space="preserve"> señalados en el artículo 1219</w:t>
      </w:r>
      <w:r w:rsidRPr="00EA4B52">
        <w:rPr>
          <w:rFonts w:ascii="Century Gothic" w:hAnsi="Century Gothic" w:cs="Arial"/>
          <w:i/>
          <w:szCs w:val="25"/>
        </w:rPr>
        <w:t>, perdonare al ofensor, recobrará éste el derecho de suceder por intestado al ofendido</w:t>
      </w:r>
      <w:r>
        <w:rPr>
          <w:rFonts w:ascii="Century Gothic" w:hAnsi="Century Gothic" w:cs="Arial"/>
          <w:i/>
          <w:szCs w:val="25"/>
        </w:rPr>
        <w:t xml:space="preserve"> </w:t>
      </w:r>
      <w:r w:rsidRPr="00EA4B52">
        <w:rPr>
          <w:rFonts w:ascii="Century Gothic" w:hAnsi="Century Gothic" w:cs="Arial"/>
          <w:i/>
          <w:szCs w:val="25"/>
        </w:rPr>
        <w:t>si el perdón consta por declaración auténtica o por hechos indubitables</w:t>
      </w:r>
    </w:p>
    <w:p w:rsidR="00E2233B" w:rsidRDefault="00EA4B52" w:rsidP="00E2233B">
      <w:pPr>
        <w:spacing w:line="360" w:lineRule="auto"/>
        <w:jc w:val="both"/>
        <w:rPr>
          <w:rFonts w:ascii="Century Gothic" w:hAnsi="Century Gothic"/>
          <w:sz w:val="24"/>
          <w:szCs w:val="24"/>
        </w:rPr>
      </w:pPr>
      <w:r>
        <w:rPr>
          <w:rFonts w:ascii="Century Gothic" w:hAnsi="Century Gothic"/>
          <w:sz w:val="24"/>
          <w:szCs w:val="24"/>
        </w:rPr>
        <w:t xml:space="preserve">Es decir, cabe la posibilidad de que aún después de haber perdido la capacidad de heredar por los casos ya mencionados, ésta pueda ser recuperada por el sujeto que cometió un delito de género. </w:t>
      </w:r>
    </w:p>
    <w:p w:rsidR="00606F80" w:rsidRDefault="00606F80" w:rsidP="00E2233B">
      <w:pPr>
        <w:spacing w:line="360" w:lineRule="auto"/>
        <w:jc w:val="both"/>
        <w:rPr>
          <w:rFonts w:ascii="Century Gothic" w:hAnsi="Century Gothic"/>
          <w:sz w:val="24"/>
          <w:szCs w:val="24"/>
        </w:rPr>
      </w:pPr>
    </w:p>
    <w:p w:rsidR="00606F80" w:rsidRDefault="00606F80" w:rsidP="00E2233B">
      <w:pPr>
        <w:spacing w:line="360" w:lineRule="auto"/>
        <w:jc w:val="both"/>
        <w:rPr>
          <w:rFonts w:ascii="Century Gothic" w:hAnsi="Century Gothic"/>
          <w:sz w:val="24"/>
          <w:szCs w:val="24"/>
        </w:rPr>
      </w:pPr>
    </w:p>
    <w:p w:rsidR="00606F80" w:rsidRDefault="00606F80" w:rsidP="00E2233B">
      <w:pPr>
        <w:spacing w:line="360" w:lineRule="auto"/>
        <w:jc w:val="both"/>
        <w:rPr>
          <w:rFonts w:ascii="Century Gothic" w:hAnsi="Century Gothic"/>
          <w:sz w:val="24"/>
          <w:szCs w:val="24"/>
        </w:rPr>
      </w:pPr>
    </w:p>
    <w:p w:rsidR="00EA4B52" w:rsidRDefault="00EA4B52" w:rsidP="00E2233B">
      <w:pPr>
        <w:spacing w:line="360" w:lineRule="auto"/>
        <w:jc w:val="both"/>
        <w:rPr>
          <w:rFonts w:ascii="Century Gothic" w:hAnsi="Century Gothic"/>
          <w:sz w:val="24"/>
          <w:szCs w:val="24"/>
        </w:rPr>
      </w:pPr>
      <w:r>
        <w:rPr>
          <w:rFonts w:ascii="Century Gothic" w:hAnsi="Century Gothic"/>
          <w:sz w:val="24"/>
          <w:szCs w:val="24"/>
        </w:rPr>
        <w:t xml:space="preserve">Por este motivo, la presente propuesta busca </w:t>
      </w:r>
      <w:r w:rsidR="000153F0">
        <w:rPr>
          <w:rFonts w:ascii="Century Gothic" w:hAnsi="Century Gothic"/>
          <w:sz w:val="24"/>
          <w:szCs w:val="24"/>
        </w:rPr>
        <w:t xml:space="preserve">evitar que la persona que cometió un delito por razón de género pueda recuperar la capacidad de heredar, cuando la parte agraviada otorgue el perdón. </w:t>
      </w:r>
    </w:p>
    <w:p w:rsidR="000153F0" w:rsidRDefault="000153F0" w:rsidP="00E2233B">
      <w:pPr>
        <w:spacing w:line="360" w:lineRule="auto"/>
        <w:jc w:val="both"/>
        <w:rPr>
          <w:rFonts w:ascii="Century Gothic" w:hAnsi="Century Gothic"/>
          <w:sz w:val="24"/>
          <w:szCs w:val="24"/>
        </w:rPr>
      </w:pPr>
      <w:r>
        <w:rPr>
          <w:rFonts w:ascii="Century Gothic" w:hAnsi="Century Gothic"/>
          <w:sz w:val="24"/>
          <w:szCs w:val="24"/>
        </w:rPr>
        <w:t xml:space="preserve">Las víctimas de violencia de género como ya lo mencioné, requieren atención de ésta de manera integral, es necesario asegurar brindarles justicia integralmente, no únicamente desde la tutela del derecho penal. </w:t>
      </w:r>
    </w:p>
    <w:p w:rsidR="000153F0" w:rsidRDefault="000153F0" w:rsidP="00E2233B">
      <w:pPr>
        <w:spacing w:line="360" w:lineRule="auto"/>
        <w:jc w:val="both"/>
        <w:rPr>
          <w:rFonts w:ascii="Century Gothic" w:hAnsi="Century Gothic"/>
          <w:sz w:val="24"/>
          <w:szCs w:val="24"/>
        </w:rPr>
      </w:pPr>
      <w:r>
        <w:rPr>
          <w:rFonts w:ascii="Century Gothic" w:hAnsi="Century Gothic"/>
          <w:sz w:val="24"/>
          <w:szCs w:val="24"/>
        </w:rPr>
        <w:t xml:space="preserve">En este sentido compañeras y compañeros, en atención a las recomendaciones internacionales y nacionales de los organismos defensores y vigilantes del respeto de los derechos humanos de las mujeres, debemos trabajar porque nuestro estado tenga dentro de su marco normativo, las suficientes herramientas que permitan a las mujeres vivir una vida libre de violencia. </w:t>
      </w:r>
    </w:p>
    <w:p w:rsidR="00E2233B" w:rsidRDefault="000153F0" w:rsidP="001A3D6C">
      <w:pPr>
        <w:spacing w:line="360" w:lineRule="auto"/>
        <w:jc w:val="both"/>
        <w:rPr>
          <w:rFonts w:ascii="Century Gothic" w:hAnsi="Century Gothic"/>
          <w:sz w:val="24"/>
          <w:szCs w:val="24"/>
        </w:rPr>
      </w:pPr>
      <w:r>
        <w:rPr>
          <w:rFonts w:ascii="Century Gothic" w:hAnsi="Century Gothic"/>
          <w:sz w:val="24"/>
          <w:szCs w:val="24"/>
        </w:rPr>
        <w:t xml:space="preserve">Desde esta tribuna les digo a las mujeres de chihuahuenses que luchemos juntas, que sigamos proclamando con el ejemplo el legado de las hermanas Mirabal y de todas aquellas guerreras que han dejado su vida por lograr un México más igualitario, en donde las mujeres </w:t>
      </w:r>
      <w:r w:rsidR="001A3D6C">
        <w:rPr>
          <w:rFonts w:ascii="Century Gothic" w:hAnsi="Century Gothic"/>
          <w:sz w:val="24"/>
          <w:szCs w:val="24"/>
        </w:rPr>
        <w:t xml:space="preserve">nos podamos sentir seguras y confiadas de que tenemos piso parejo para poder llegar a nuestros objetivos. </w:t>
      </w:r>
    </w:p>
    <w:p w:rsidR="00C151B9" w:rsidRPr="00C151B9" w:rsidRDefault="001A3D6C" w:rsidP="00FD09B9">
      <w:pPr>
        <w:pStyle w:val="Body"/>
        <w:spacing w:line="360" w:lineRule="auto"/>
        <w:jc w:val="both"/>
        <w:rPr>
          <w:rFonts w:ascii="Century Gothic" w:hAnsi="Century Gothic" w:cs="Aparajita"/>
          <w:sz w:val="24"/>
          <w:szCs w:val="24"/>
        </w:rPr>
      </w:pPr>
      <w:r>
        <w:rPr>
          <w:rFonts w:ascii="Century Gothic" w:hAnsi="Century Gothic" w:cs="Aparajita"/>
          <w:sz w:val="24"/>
          <w:szCs w:val="24"/>
        </w:rPr>
        <w:t>T</w:t>
      </w:r>
      <w:r w:rsidR="00C151B9">
        <w:rPr>
          <w:rFonts w:ascii="Century Gothic" w:hAnsi="Century Gothic" w:cs="Aparajita"/>
          <w:sz w:val="24"/>
          <w:szCs w:val="24"/>
        </w:rPr>
        <w:t xml:space="preserve">enemos una deuda con todas aquellas mujeres que han sido víctimas de esta violencia, por lo que debemos trabajar haciendo uso de nuestras atribuciones como legisladoras y legisladores para encaminar nuestros esfuerzos y erradicar la violencia de género. </w:t>
      </w:r>
    </w:p>
    <w:p w:rsidR="00606F80" w:rsidRDefault="00606F80" w:rsidP="004A01F6">
      <w:pPr>
        <w:spacing w:line="360" w:lineRule="auto"/>
        <w:jc w:val="both"/>
        <w:rPr>
          <w:rFonts w:ascii="Century Gothic" w:hAnsi="Century Gothic"/>
          <w:bCs/>
          <w:sz w:val="24"/>
        </w:rPr>
      </w:pPr>
    </w:p>
    <w:p w:rsidR="00606F80" w:rsidRDefault="00606F80" w:rsidP="004A01F6">
      <w:pPr>
        <w:spacing w:line="360" w:lineRule="auto"/>
        <w:jc w:val="both"/>
        <w:rPr>
          <w:rFonts w:ascii="Century Gothic" w:hAnsi="Century Gothic"/>
          <w:bCs/>
          <w:sz w:val="24"/>
        </w:rPr>
      </w:pPr>
    </w:p>
    <w:p w:rsidR="004A01F6" w:rsidRPr="0073526E" w:rsidRDefault="004A01F6" w:rsidP="004A01F6">
      <w:pPr>
        <w:spacing w:line="360" w:lineRule="auto"/>
        <w:jc w:val="both"/>
        <w:rPr>
          <w:rFonts w:ascii="Century Gothic" w:hAnsi="Century Gothic"/>
          <w:bCs/>
          <w:sz w:val="24"/>
        </w:rPr>
      </w:pPr>
      <w:r w:rsidRPr="0073526E">
        <w:rPr>
          <w:rFonts w:ascii="Century Gothic" w:hAnsi="Century Gothic"/>
          <w:bCs/>
          <w:sz w:val="24"/>
        </w:rPr>
        <w:t>Por lo anteriormente expuesto, con fundamento en lo dispuesto por los artículos 57 y 58 de la Constitución Política del Estado, someto a la consideración de esta Honorable Repre</w:t>
      </w:r>
      <w:r w:rsidR="006F0523">
        <w:rPr>
          <w:rFonts w:ascii="Century Gothic" w:hAnsi="Century Gothic"/>
          <w:bCs/>
          <w:sz w:val="24"/>
        </w:rPr>
        <w:t xml:space="preserve">sentación Popular, el siguiente </w:t>
      </w:r>
      <w:r w:rsidRPr="0073526E">
        <w:rPr>
          <w:rFonts w:ascii="Century Gothic" w:hAnsi="Century Gothic"/>
          <w:bCs/>
          <w:sz w:val="24"/>
        </w:rPr>
        <w:t>proyecto de:</w:t>
      </w:r>
    </w:p>
    <w:p w:rsidR="0034016E" w:rsidRDefault="0034016E" w:rsidP="005119CE">
      <w:pPr>
        <w:spacing w:after="0" w:line="360" w:lineRule="auto"/>
        <w:rPr>
          <w:rFonts w:ascii="Century Gothic" w:hAnsi="Century Gothic"/>
          <w:b/>
          <w:sz w:val="24"/>
          <w:szCs w:val="24"/>
        </w:rPr>
      </w:pPr>
    </w:p>
    <w:p w:rsidR="00606F80" w:rsidRDefault="00606F80" w:rsidP="006F6028">
      <w:pPr>
        <w:spacing w:after="0" w:line="360" w:lineRule="auto"/>
        <w:jc w:val="center"/>
        <w:rPr>
          <w:rFonts w:ascii="Century Gothic" w:hAnsi="Century Gothic"/>
          <w:b/>
          <w:sz w:val="24"/>
          <w:szCs w:val="24"/>
        </w:rPr>
      </w:pPr>
    </w:p>
    <w:p w:rsidR="006F6028" w:rsidRDefault="004A01F6" w:rsidP="006F6028">
      <w:pPr>
        <w:spacing w:after="0" w:line="360" w:lineRule="auto"/>
        <w:jc w:val="center"/>
        <w:rPr>
          <w:rFonts w:ascii="Century Gothic" w:hAnsi="Century Gothic"/>
          <w:b/>
          <w:sz w:val="24"/>
          <w:szCs w:val="24"/>
        </w:rPr>
      </w:pPr>
      <w:r>
        <w:rPr>
          <w:rFonts w:ascii="Century Gothic" w:hAnsi="Century Gothic"/>
          <w:b/>
          <w:sz w:val="24"/>
          <w:szCs w:val="24"/>
        </w:rPr>
        <w:t>DECRETO</w:t>
      </w:r>
    </w:p>
    <w:p w:rsidR="006F6028" w:rsidRPr="00C92B21" w:rsidRDefault="006F6028" w:rsidP="00291082">
      <w:pPr>
        <w:spacing w:after="0" w:line="360" w:lineRule="auto"/>
        <w:jc w:val="center"/>
        <w:rPr>
          <w:rFonts w:ascii="Century Gothic" w:hAnsi="Century Gothic"/>
          <w:b/>
          <w:sz w:val="24"/>
          <w:szCs w:val="24"/>
        </w:rPr>
      </w:pPr>
    </w:p>
    <w:p w:rsidR="000577DD" w:rsidRDefault="00291082" w:rsidP="000577DD">
      <w:pPr>
        <w:spacing w:line="360" w:lineRule="auto"/>
        <w:jc w:val="both"/>
        <w:rPr>
          <w:rFonts w:ascii="Century Gothic" w:hAnsi="Century Gothic"/>
          <w:b/>
          <w:sz w:val="24"/>
          <w:szCs w:val="24"/>
        </w:rPr>
      </w:pPr>
      <w:r>
        <w:rPr>
          <w:rFonts w:ascii="Century Gothic" w:hAnsi="Century Gothic" w:cs="Arial"/>
          <w:b/>
          <w:bCs/>
          <w:color w:val="000000"/>
          <w:sz w:val="24"/>
          <w:szCs w:val="24"/>
        </w:rPr>
        <w:t xml:space="preserve">ARTÍCULO </w:t>
      </w:r>
      <w:r w:rsidRPr="00B86C87">
        <w:rPr>
          <w:rFonts w:ascii="Century Gothic" w:hAnsi="Century Gothic" w:cs="Arial"/>
          <w:b/>
          <w:bCs/>
          <w:color w:val="000000"/>
          <w:sz w:val="24"/>
          <w:szCs w:val="24"/>
        </w:rPr>
        <w:t xml:space="preserve">ÚNICO: </w:t>
      </w:r>
      <w:r w:rsidR="000577DD" w:rsidRPr="00D7770F">
        <w:rPr>
          <w:rFonts w:ascii="Century Gothic" w:hAnsi="Century Gothic"/>
          <w:sz w:val="24"/>
          <w:szCs w:val="24"/>
        </w:rPr>
        <w:t>Se REFORMA el artículo 1221 del Código Civil del Estado de Chihuahua, para quedar redactado de la siguiente manera:</w:t>
      </w:r>
      <w:r w:rsidR="000577DD" w:rsidRPr="00D7770F">
        <w:rPr>
          <w:rFonts w:ascii="Century Gothic" w:hAnsi="Century Gothic"/>
          <w:b/>
          <w:sz w:val="24"/>
          <w:szCs w:val="24"/>
        </w:rPr>
        <w:t xml:space="preserve"> </w:t>
      </w:r>
    </w:p>
    <w:p w:rsidR="00606F80" w:rsidRPr="000577DD" w:rsidRDefault="00606F80" w:rsidP="000577DD">
      <w:pPr>
        <w:spacing w:line="360" w:lineRule="auto"/>
        <w:jc w:val="both"/>
        <w:rPr>
          <w:rFonts w:ascii="Century Gothic" w:hAnsi="Century Gothic"/>
          <w:b/>
          <w:sz w:val="24"/>
          <w:szCs w:val="24"/>
        </w:rPr>
      </w:pPr>
    </w:p>
    <w:p w:rsidR="000577DD" w:rsidRDefault="000577DD" w:rsidP="000577DD">
      <w:pPr>
        <w:spacing w:line="360" w:lineRule="auto"/>
        <w:ind w:left="708"/>
        <w:jc w:val="both"/>
        <w:rPr>
          <w:rFonts w:ascii="Century Gothic" w:hAnsi="Century Gothic"/>
          <w:sz w:val="24"/>
          <w:szCs w:val="24"/>
        </w:rPr>
      </w:pPr>
      <w:r w:rsidRPr="00D7770F">
        <w:rPr>
          <w:rFonts w:ascii="Century Gothic" w:hAnsi="Century Gothic"/>
          <w:b/>
          <w:sz w:val="24"/>
          <w:szCs w:val="24"/>
        </w:rPr>
        <w:t>ARTÍCULO 1221.</w:t>
      </w:r>
      <w:r w:rsidRPr="00D7770F">
        <w:rPr>
          <w:rFonts w:ascii="Century Gothic" w:hAnsi="Century Gothic"/>
          <w:sz w:val="24"/>
          <w:szCs w:val="24"/>
        </w:rPr>
        <w:t xml:space="preserve"> Cuando la parte agraviada, en cualquiera de los casos señalados en el artículo 1219</w:t>
      </w:r>
      <w:r>
        <w:rPr>
          <w:rFonts w:ascii="Century Gothic" w:hAnsi="Century Gothic"/>
          <w:sz w:val="24"/>
          <w:szCs w:val="24"/>
        </w:rPr>
        <w:t>,</w:t>
      </w:r>
      <w:r w:rsidRPr="00D7770F">
        <w:rPr>
          <w:rFonts w:ascii="Century Gothic" w:hAnsi="Century Gothic"/>
          <w:sz w:val="24"/>
          <w:szCs w:val="24"/>
        </w:rPr>
        <w:t xml:space="preserve"> </w:t>
      </w:r>
      <w:r w:rsidRPr="000577DD">
        <w:rPr>
          <w:rFonts w:ascii="Century Gothic" w:hAnsi="Century Gothic"/>
          <w:b/>
          <w:sz w:val="24"/>
          <w:szCs w:val="24"/>
        </w:rPr>
        <w:t>exceptuando los casos a los que hace referencia la fracción I de dicho numeral y aquellos en donde exista condena por delitos que impliquen violencia de género o familiar</w:t>
      </w:r>
      <w:r w:rsidRPr="000577DD">
        <w:rPr>
          <w:rFonts w:ascii="Century Gothic" w:hAnsi="Century Gothic"/>
          <w:sz w:val="24"/>
          <w:szCs w:val="24"/>
        </w:rPr>
        <w:t>,</w:t>
      </w:r>
      <w:r w:rsidRPr="00D7770F">
        <w:rPr>
          <w:rFonts w:ascii="Century Gothic" w:hAnsi="Century Gothic"/>
          <w:sz w:val="24"/>
          <w:szCs w:val="24"/>
        </w:rPr>
        <w:t xml:space="preserve"> perdonare al ofensor, recobrará éste el derecho de suceder por intestado al ofendido si el perdón consta por declaración auténtica o por hechos indubitables.</w:t>
      </w:r>
    </w:p>
    <w:p w:rsidR="00606F80" w:rsidRDefault="00606F80" w:rsidP="000577DD">
      <w:pPr>
        <w:spacing w:line="360" w:lineRule="auto"/>
        <w:ind w:left="708"/>
        <w:jc w:val="both"/>
        <w:rPr>
          <w:rFonts w:ascii="Century Gothic" w:hAnsi="Century Gothic"/>
          <w:sz w:val="24"/>
          <w:szCs w:val="24"/>
        </w:rPr>
      </w:pPr>
    </w:p>
    <w:p w:rsidR="00606F80" w:rsidRDefault="00606F80" w:rsidP="000577DD">
      <w:pPr>
        <w:spacing w:line="360" w:lineRule="auto"/>
        <w:ind w:left="708"/>
        <w:jc w:val="both"/>
        <w:rPr>
          <w:rFonts w:ascii="Century Gothic" w:hAnsi="Century Gothic"/>
          <w:sz w:val="24"/>
          <w:szCs w:val="24"/>
        </w:rPr>
      </w:pPr>
    </w:p>
    <w:p w:rsidR="00606F80" w:rsidRDefault="00606F80" w:rsidP="000577DD">
      <w:pPr>
        <w:spacing w:line="360" w:lineRule="auto"/>
        <w:ind w:left="708"/>
        <w:jc w:val="both"/>
        <w:rPr>
          <w:rFonts w:ascii="Century Gothic" w:hAnsi="Century Gothic"/>
          <w:sz w:val="24"/>
          <w:szCs w:val="24"/>
        </w:rPr>
      </w:pPr>
    </w:p>
    <w:p w:rsidR="00606F80" w:rsidRPr="000577DD" w:rsidRDefault="00606F80" w:rsidP="000577DD">
      <w:pPr>
        <w:spacing w:line="360" w:lineRule="auto"/>
        <w:ind w:left="708"/>
        <w:jc w:val="both"/>
        <w:rPr>
          <w:rFonts w:ascii="Century Gothic" w:hAnsi="Century Gothic"/>
          <w:sz w:val="24"/>
          <w:szCs w:val="24"/>
        </w:rPr>
      </w:pPr>
    </w:p>
    <w:p w:rsidR="00562D1C" w:rsidRDefault="00562D1C" w:rsidP="000577DD">
      <w:pPr>
        <w:spacing w:line="360" w:lineRule="auto"/>
        <w:jc w:val="both"/>
        <w:rPr>
          <w:rFonts w:ascii="Century Gothic" w:hAnsi="Century Gothic"/>
          <w:b/>
          <w:sz w:val="24"/>
        </w:rPr>
      </w:pPr>
    </w:p>
    <w:p w:rsidR="00027229" w:rsidRDefault="00027229" w:rsidP="001518D7">
      <w:pPr>
        <w:spacing w:line="360" w:lineRule="auto"/>
        <w:jc w:val="center"/>
        <w:rPr>
          <w:rFonts w:ascii="Century Gothic" w:hAnsi="Century Gothic"/>
          <w:b/>
          <w:sz w:val="24"/>
        </w:rPr>
      </w:pPr>
      <w:r w:rsidRPr="00736466">
        <w:rPr>
          <w:rFonts w:ascii="Century Gothic" w:hAnsi="Century Gothic"/>
          <w:b/>
          <w:sz w:val="24"/>
        </w:rPr>
        <w:t>TRANSITORIOS</w:t>
      </w:r>
    </w:p>
    <w:p w:rsidR="00027229" w:rsidRDefault="00027229" w:rsidP="00027229">
      <w:pPr>
        <w:spacing w:line="360" w:lineRule="auto"/>
        <w:jc w:val="both"/>
        <w:rPr>
          <w:rFonts w:ascii="Century Gothic" w:hAnsi="Century Gothic"/>
          <w:b/>
          <w:sz w:val="24"/>
        </w:rPr>
      </w:pPr>
      <w:r>
        <w:rPr>
          <w:rFonts w:ascii="Century Gothic" w:hAnsi="Century Gothic"/>
          <w:b/>
          <w:sz w:val="24"/>
        </w:rPr>
        <w:t xml:space="preserve">ÚNICO. </w:t>
      </w:r>
      <w:r w:rsidRPr="00736466">
        <w:rPr>
          <w:rFonts w:ascii="Century Gothic" w:hAnsi="Century Gothic"/>
          <w:sz w:val="24"/>
        </w:rPr>
        <w:t>El presente decreto</w:t>
      </w:r>
      <w:r>
        <w:rPr>
          <w:rFonts w:ascii="Century Gothic" w:hAnsi="Century Gothic"/>
          <w:b/>
          <w:sz w:val="24"/>
        </w:rPr>
        <w:t xml:space="preserve"> </w:t>
      </w:r>
      <w:r w:rsidRPr="00736466">
        <w:rPr>
          <w:rFonts w:ascii="Century Gothic" w:hAnsi="Century Gothic"/>
          <w:sz w:val="24"/>
        </w:rPr>
        <w:t>entrará en vigor al día siguiente de su publicación en el Periódico oficial del Estado.</w:t>
      </w:r>
      <w:r>
        <w:rPr>
          <w:rFonts w:ascii="Century Gothic" w:hAnsi="Century Gothic"/>
          <w:b/>
          <w:sz w:val="24"/>
        </w:rPr>
        <w:t xml:space="preserve"> </w:t>
      </w:r>
    </w:p>
    <w:p w:rsidR="007320E4" w:rsidRPr="00736466" w:rsidRDefault="007320E4" w:rsidP="00027229">
      <w:pPr>
        <w:spacing w:line="360" w:lineRule="auto"/>
        <w:jc w:val="both"/>
        <w:rPr>
          <w:rFonts w:ascii="Century Gothic" w:hAnsi="Century Gothic"/>
          <w:b/>
          <w:sz w:val="24"/>
        </w:rPr>
      </w:pPr>
    </w:p>
    <w:p w:rsidR="00027229" w:rsidRPr="005F3461" w:rsidRDefault="00027229" w:rsidP="00027229">
      <w:pPr>
        <w:spacing w:line="360" w:lineRule="auto"/>
        <w:jc w:val="both"/>
        <w:rPr>
          <w:rFonts w:ascii="Century Gothic" w:hAnsi="Century Gothic"/>
          <w:sz w:val="24"/>
          <w:szCs w:val="24"/>
        </w:rPr>
      </w:pPr>
      <w:r w:rsidRPr="005F3461">
        <w:rPr>
          <w:rFonts w:ascii="Century Gothic" w:hAnsi="Century Gothic"/>
          <w:b/>
          <w:sz w:val="24"/>
          <w:szCs w:val="24"/>
        </w:rPr>
        <w:t xml:space="preserve">ECONÓMICO. </w:t>
      </w:r>
      <w:r w:rsidRPr="005F3461">
        <w:rPr>
          <w:rFonts w:ascii="Century Gothic" w:hAnsi="Century Gothic"/>
          <w:sz w:val="24"/>
          <w:szCs w:val="24"/>
        </w:rPr>
        <w:t>Aprobado que sea, túrnese a la Secretaría para que elabore la minuta de Decreto correspondiente.</w:t>
      </w:r>
    </w:p>
    <w:p w:rsidR="00027229" w:rsidRDefault="00027229" w:rsidP="00027229">
      <w:pPr>
        <w:spacing w:line="360" w:lineRule="auto"/>
        <w:jc w:val="both"/>
        <w:rPr>
          <w:rFonts w:ascii="Century Gothic" w:hAnsi="Century Gothic"/>
          <w:sz w:val="24"/>
          <w:szCs w:val="24"/>
        </w:rPr>
      </w:pPr>
      <w:r w:rsidRPr="005F3461">
        <w:rPr>
          <w:rFonts w:ascii="Century Gothic" w:hAnsi="Century Gothic"/>
          <w:sz w:val="24"/>
          <w:szCs w:val="24"/>
        </w:rPr>
        <w:t xml:space="preserve">Dado en el Palacio del Poder Legislativo, en la ciudad de Chihuahua, Chihuahua, a los </w:t>
      </w:r>
      <w:r w:rsidR="00BC178E">
        <w:rPr>
          <w:rFonts w:ascii="Century Gothic" w:hAnsi="Century Gothic"/>
          <w:sz w:val="24"/>
          <w:szCs w:val="24"/>
        </w:rPr>
        <w:t>veinti</w:t>
      </w:r>
      <w:r w:rsidR="00B7238F">
        <w:rPr>
          <w:rFonts w:ascii="Century Gothic" w:hAnsi="Century Gothic"/>
          <w:sz w:val="24"/>
          <w:szCs w:val="24"/>
        </w:rPr>
        <w:t>seis</w:t>
      </w:r>
      <w:r w:rsidR="00BC178E">
        <w:rPr>
          <w:rFonts w:ascii="Century Gothic" w:hAnsi="Century Gothic"/>
          <w:sz w:val="24"/>
          <w:szCs w:val="24"/>
        </w:rPr>
        <w:t xml:space="preserve"> días</w:t>
      </w:r>
      <w:r w:rsidRPr="005F3461">
        <w:rPr>
          <w:rFonts w:ascii="Century Gothic" w:hAnsi="Century Gothic"/>
          <w:sz w:val="24"/>
          <w:szCs w:val="24"/>
        </w:rPr>
        <w:t xml:space="preserve"> del mes de </w:t>
      </w:r>
      <w:r w:rsidR="00BC178E">
        <w:rPr>
          <w:rFonts w:ascii="Century Gothic" w:hAnsi="Century Gothic"/>
          <w:sz w:val="24"/>
          <w:szCs w:val="24"/>
        </w:rPr>
        <w:t>noviembre</w:t>
      </w:r>
      <w:r w:rsidRPr="005F3461">
        <w:rPr>
          <w:rFonts w:ascii="Century Gothic" w:hAnsi="Century Gothic"/>
          <w:sz w:val="24"/>
          <w:szCs w:val="24"/>
        </w:rPr>
        <w:t xml:space="preserve"> de</w:t>
      </w:r>
      <w:r>
        <w:rPr>
          <w:rFonts w:ascii="Century Gothic" w:hAnsi="Century Gothic"/>
          <w:sz w:val="24"/>
          <w:szCs w:val="24"/>
        </w:rPr>
        <w:t>l año dos mil veinte</w:t>
      </w:r>
      <w:r w:rsidRPr="005F3461">
        <w:rPr>
          <w:rFonts w:ascii="Century Gothic" w:hAnsi="Century Gothic"/>
          <w:sz w:val="24"/>
          <w:szCs w:val="24"/>
        </w:rPr>
        <w:t>.</w:t>
      </w:r>
    </w:p>
    <w:p w:rsidR="001518D7" w:rsidRPr="005F3461" w:rsidRDefault="001518D7" w:rsidP="00027229">
      <w:pPr>
        <w:spacing w:line="360" w:lineRule="auto"/>
        <w:jc w:val="both"/>
        <w:rPr>
          <w:rFonts w:ascii="Century Gothic" w:hAnsi="Century Gothic"/>
          <w:sz w:val="24"/>
          <w:szCs w:val="24"/>
        </w:rPr>
      </w:pPr>
    </w:p>
    <w:p w:rsidR="00C74048" w:rsidRDefault="00C74048" w:rsidP="00C74048">
      <w:pPr>
        <w:spacing w:after="0" w:line="360" w:lineRule="auto"/>
        <w:jc w:val="center"/>
        <w:rPr>
          <w:rFonts w:ascii="Century Gothic" w:hAnsi="Century Gothic"/>
          <w:b/>
          <w:sz w:val="24"/>
          <w:szCs w:val="24"/>
        </w:rPr>
      </w:pPr>
    </w:p>
    <w:p w:rsidR="00C74048" w:rsidRDefault="00C74048" w:rsidP="00C74048">
      <w:pPr>
        <w:spacing w:after="0" w:line="360" w:lineRule="auto"/>
        <w:jc w:val="center"/>
        <w:rPr>
          <w:rFonts w:ascii="Century Gothic" w:hAnsi="Century Gothic"/>
          <w:b/>
          <w:sz w:val="24"/>
          <w:szCs w:val="24"/>
        </w:rPr>
      </w:pPr>
      <w:r w:rsidRPr="00F80D67">
        <w:rPr>
          <w:rFonts w:ascii="Century Gothic" w:hAnsi="Century Gothic"/>
          <w:b/>
          <w:sz w:val="24"/>
          <w:szCs w:val="24"/>
        </w:rPr>
        <w:t>ATENTAMENTE</w:t>
      </w:r>
    </w:p>
    <w:p w:rsidR="006F6028" w:rsidRPr="00F80D67" w:rsidRDefault="006F6028" w:rsidP="00C74048">
      <w:pPr>
        <w:spacing w:after="0" w:line="360" w:lineRule="auto"/>
        <w:jc w:val="center"/>
        <w:rPr>
          <w:rFonts w:ascii="Century Gothic" w:hAnsi="Century Gothic"/>
          <w:b/>
          <w:sz w:val="24"/>
          <w:szCs w:val="24"/>
        </w:rPr>
      </w:pPr>
    </w:p>
    <w:p w:rsidR="00C74048" w:rsidRDefault="00C74048" w:rsidP="00C74048">
      <w:pPr>
        <w:spacing w:after="0" w:line="360" w:lineRule="auto"/>
        <w:rPr>
          <w:rFonts w:ascii="Century Gothic" w:hAnsi="Century Gothic"/>
          <w:sz w:val="24"/>
          <w:szCs w:val="24"/>
        </w:rPr>
      </w:pPr>
    </w:p>
    <w:p w:rsidR="00606F80" w:rsidRDefault="00606F80" w:rsidP="00C74048">
      <w:pPr>
        <w:spacing w:after="0" w:line="360" w:lineRule="auto"/>
        <w:rPr>
          <w:rFonts w:ascii="Century Gothic" w:hAnsi="Century Gothic"/>
          <w:sz w:val="24"/>
          <w:szCs w:val="24"/>
        </w:rPr>
      </w:pPr>
    </w:p>
    <w:p w:rsidR="00C74048" w:rsidRPr="00702369" w:rsidRDefault="00C74048" w:rsidP="00C74048">
      <w:pPr>
        <w:spacing w:after="0" w:line="360" w:lineRule="auto"/>
        <w:jc w:val="center"/>
        <w:rPr>
          <w:rFonts w:ascii="Century Gothic" w:hAnsi="Century Gothic"/>
          <w:sz w:val="24"/>
          <w:szCs w:val="24"/>
        </w:rPr>
      </w:pPr>
      <w:r w:rsidRPr="00F80D67">
        <w:rPr>
          <w:rFonts w:ascii="Century Gothic" w:hAnsi="Century Gothic"/>
          <w:b/>
          <w:sz w:val="24"/>
          <w:szCs w:val="24"/>
        </w:rPr>
        <w:t>DIP. GEORGINA ALEJANDRA BUJANDA RÍOS</w:t>
      </w:r>
      <w:r>
        <w:rPr>
          <w:rFonts w:ascii="Century Gothic" w:hAnsi="Century Gothic"/>
          <w:sz w:val="24"/>
          <w:szCs w:val="24"/>
        </w:rPr>
        <w:t xml:space="preserve">  </w:t>
      </w:r>
    </w:p>
    <w:p w:rsidR="002E1AED" w:rsidRPr="00C74048" w:rsidRDefault="002E1AED" w:rsidP="00C74048"/>
    <w:sectPr w:rsidR="002E1AED" w:rsidRPr="00C74048" w:rsidSect="00291082">
      <w:headerReference w:type="default" r:id="rId8"/>
      <w:footerReference w:type="even" r:id="rId9"/>
      <w:footerReference w:type="default" r:id="rId10"/>
      <w:pgSz w:w="12240" w:h="15840"/>
      <w:pgMar w:top="1928" w:right="1701" w:bottom="18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66" w:rsidRDefault="00804A66" w:rsidP="0015602E">
      <w:pPr>
        <w:spacing w:after="0" w:line="240" w:lineRule="auto"/>
      </w:pPr>
      <w:r>
        <w:separator/>
      </w:r>
    </w:p>
  </w:endnote>
  <w:endnote w:type="continuationSeparator" w:id="0">
    <w:p w:rsidR="00804A66" w:rsidRDefault="00804A66"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F0" w:rsidRDefault="000153F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F0" w:rsidRPr="00DF30FE" w:rsidRDefault="000153F0" w:rsidP="00DF30FE">
    <w:pPr>
      <w:pStyle w:val="Piedepgina"/>
      <w:rPr>
        <w:sz w:val="24"/>
        <w:szCs w:val="24"/>
      </w:rPr>
    </w:pPr>
    <w:r w:rsidRPr="00C333A3">
      <w:rPr>
        <w:noProof/>
        <w:lang w:eastAsia="es-MX"/>
      </w:rPr>
      <w:drawing>
        <wp:anchor distT="0" distB="0" distL="114300" distR="114300" simplePos="0" relativeHeight="251661312" behindDoc="1" locked="0" layoutInCell="1" allowOverlap="1">
          <wp:simplePos x="0" y="0"/>
          <wp:positionH relativeFrom="column">
            <wp:posOffset>-1016304</wp:posOffset>
          </wp:positionH>
          <wp:positionV relativeFrom="paragraph">
            <wp:posOffset>-199004</wp:posOffset>
          </wp:positionV>
          <wp:extent cx="3291840" cy="755730"/>
          <wp:effectExtent l="0" t="0" r="0" b="0"/>
          <wp:wrapNone/>
          <wp:docPr id="2" name="Imagen 2" descr="C:\Users\alejandra\Desktop\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jandra\Desktop\legisl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75573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66" w:rsidRDefault="00804A66" w:rsidP="0015602E">
      <w:pPr>
        <w:spacing w:after="0" w:line="240" w:lineRule="auto"/>
      </w:pPr>
      <w:r>
        <w:separator/>
      </w:r>
    </w:p>
  </w:footnote>
  <w:footnote w:type="continuationSeparator" w:id="0">
    <w:p w:rsidR="00804A66" w:rsidRDefault="00804A66" w:rsidP="0015602E">
      <w:pPr>
        <w:spacing w:after="0" w:line="240" w:lineRule="auto"/>
      </w:pPr>
      <w:r>
        <w:continuationSeparator/>
      </w:r>
    </w:p>
  </w:footnote>
  <w:footnote w:id="1">
    <w:p w:rsidR="000153F0" w:rsidRPr="00E94801" w:rsidRDefault="000153F0" w:rsidP="00E94801">
      <w:pPr>
        <w:pStyle w:val="Textonotapie"/>
        <w:jc w:val="both"/>
        <w:rPr>
          <w:rFonts w:ascii="Century Gothic" w:hAnsi="Century Gothic"/>
          <w:sz w:val="16"/>
          <w:szCs w:val="16"/>
        </w:rPr>
      </w:pPr>
      <w:r>
        <w:rPr>
          <w:rStyle w:val="Refdenotaalpie"/>
        </w:rPr>
        <w:footnoteRef/>
      </w:r>
      <w:r>
        <w:t xml:space="preserve"> </w:t>
      </w:r>
      <w:r w:rsidRPr="00E94801">
        <w:rPr>
          <w:rFonts w:ascii="Century Gothic" w:hAnsi="Century Gothic"/>
          <w:sz w:val="16"/>
          <w:szCs w:val="16"/>
        </w:rPr>
        <w:t xml:space="preserve">Información de violencia en contra de las mujeres, incidencia delictiva. Secretariado Ejecutivo del Sistema Nacional de Seguridad Pública. Recuperado el 25 de noviembre 2020 de </w:t>
      </w:r>
      <w:hyperlink r:id="rId1" w:history="1">
        <w:r w:rsidRPr="00E94801">
          <w:rPr>
            <w:rStyle w:val="Hipervnculo"/>
            <w:rFonts w:ascii="Century Gothic" w:hAnsi="Century Gothic"/>
            <w:sz w:val="16"/>
            <w:szCs w:val="16"/>
          </w:rPr>
          <w:t>https://www.gob.mx/sesnsp/articulos/informacion-sobre-violencia-contra-las-mujeres-incidencia-delictiva-y-llamadas-de-emergencia-9-1-1-febrero-2019?idiom=es</w:t>
        </w:r>
      </w:hyperlink>
      <w:r w:rsidRPr="00E94801">
        <w:rPr>
          <w:rFonts w:ascii="Century Gothic" w:hAnsi="Century Gothic"/>
          <w:sz w:val="16"/>
          <w:szCs w:val="16"/>
        </w:rPr>
        <w:t xml:space="preserve"> </w:t>
      </w:r>
    </w:p>
    <w:p w:rsidR="000153F0" w:rsidRDefault="000153F0">
      <w:pPr>
        <w:pStyle w:val="Textonotapie"/>
      </w:pPr>
    </w:p>
  </w:footnote>
  <w:footnote w:id="2">
    <w:p w:rsidR="00606F80" w:rsidRDefault="00606F80" w:rsidP="00606F80">
      <w:pPr>
        <w:pStyle w:val="Textonotapie"/>
        <w:jc w:val="both"/>
      </w:pPr>
      <w:r>
        <w:rPr>
          <w:rStyle w:val="Refdenotaalpie"/>
        </w:rPr>
        <w:footnoteRef/>
      </w:r>
      <w:r>
        <w:t xml:space="preserve"> </w:t>
      </w:r>
      <w:r w:rsidRPr="00606F80">
        <w:rPr>
          <w:rFonts w:ascii="Century Gothic" w:hAnsi="Century Gothic" w:cs="Arial"/>
          <w:sz w:val="16"/>
          <w:szCs w:val="24"/>
        </w:rPr>
        <w:t>P</w:t>
      </w:r>
      <w:r w:rsidRPr="00606F80">
        <w:rPr>
          <w:rFonts w:ascii="Century Gothic" w:hAnsi="Century Gothic" w:cs="Aparajita"/>
          <w:sz w:val="16"/>
          <w:szCs w:val="24"/>
        </w:rPr>
        <w:t xml:space="preserve">rincipales retos legislativos en materia de igualdad, no discriminación y no violencia contra las mujeres en México (2019), CNDH. Recuperado el 25 de noviembre de 2020 de </w:t>
      </w:r>
      <w:hyperlink r:id="rId2" w:history="1">
        <w:r w:rsidRPr="00606F80">
          <w:rPr>
            <w:rStyle w:val="Hipervnculo"/>
            <w:rFonts w:ascii="Century Gothic" w:hAnsi="Century Gothic" w:cs="Aparajita"/>
            <w:sz w:val="16"/>
            <w:szCs w:val="24"/>
          </w:rPr>
          <w:t>https://www.cndh.org.mx/sites/default/files/documentos/2019-11/Retos-legislativos-2019.pdf</w:t>
        </w:r>
      </w:hyperlink>
      <w:r w:rsidRPr="00606F80">
        <w:rPr>
          <w:rFonts w:ascii="Century Gothic" w:hAnsi="Century Gothic" w:cs="Aparajita"/>
          <w:sz w:val="16"/>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F0" w:rsidRPr="00AB3662" w:rsidRDefault="0075464A" w:rsidP="006F6028">
    <w:pPr>
      <w:pStyle w:val="Piedepgina"/>
      <w:jc w:val="right"/>
      <w:rPr>
        <w:rFonts w:ascii="Century Gothic" w:hAnsi="Century Gothic"/>
        <w:sz w:val="24"/>
        <w:szCs w:val="24"/>
      </w:rPr>
    </w:pPr>
    <w:sdt>
      <w:sdtPr>
        <w:rPr>
          <w:sz w:val="24"/>
          <w:szCs w:val="24"/>
        </w:rPr>
        <w:id w:val="168854142"/>
        <w:docPartObj>
          <w:docPartGallery w:val="Page Numbers (Margins)"/>
          <w:docPartUnique/>
        </w:docPartObj>
      </w:sdtPr>
      <w:sdtEndPr/>
      <w:sdtContent>
        <w:r>
          <w:rPr>
            <w:noProof/>
            <w:sz w:val="24"/>
            <w:szCs w:val="24"/>
            <w:lang w:val="es-ES" w:eastAsia="zh-TW"/>
          </w:rPr>
          <w:pict>
            <v:rect id="_x0000_s4097" style="position:absolute;left:0;text-align:left;margin-left:0;margin-top:0;width:60pt;height:70.5pt;z-index:251663360;mso-position-horizontal:center;mso-position-horizontal-relative:right-margin-area;mso-position-vertical:center;mso-position-vertical-relative:page" o:allowincell="f" stroked="f">
              <v:textbox>
                <w:txbxContent>
                  <w:sdt>
                    <w:sdtPr>
                      <w:rPr>
                        <w:rFonts w:asciiTheme="majorHAnsi" w:hAnsiTheme="majorHAnsi"/>
                        <w:szCs w:val="44"/>
                        <w:lang w:val="es-ES"/>
                      </w:rPr>
                      <w:id w:val="216749887"/>
                      <w:docPartObj>
                        <w:docPartGallery w:val="Page Numbers (Margins)"/>
                        <w:docPartUnique/>
                      </w:docPartObj>
                    </w:sdtPr>
                    <w:sdtEndPr/>
                    <w:sdtContent>
                      <w:p w:rsidR="000153F0" w:rsidRPr="006F6028" w:rsidRDefault="00DD609E">
                        <w:pPr>
                          <w:jc w:val="center"/>
                          <w:rPr>
                            <w:rFonts w:asciiTheme="majorHAnsi" w:hAnsiTheme="majorHAnsi"/>
                            <w:sz w:val="32"/>
                            <w:szCs w:val="44"/>
                            <w:lang w:val="es-ES"/>
                          </w:rPr>
                        </w:pPr>
                        <w:r w:rsidRPr="006F6028">
                          <w:rPr>
                            <w:sz w:val="8"/>
                            <w:lang w:val="es-ES"/>
                          </w:rPr>
                          <w:fldChar w:fldCharType="begin"/>
                        </w:r>
                        <w:r w:rsidR="000153F0" w:rsidRPr="006F6028">
                          <w:rPr>
                            <w:sz w:val="8"/>
                            <w:lang w:val="es-ES"/>
                          </w:rPr>
                          <w:instrText xml:space="preserve"> PAGE  \* MERGEFORMAT </w:instrText>
                        </w:r>
                        <w:r w:rsidRPr="006F6028">
                          <w:rPr>
                            <w:sz w:val="8"/>
                            <w:lang w:val="es-ES"/>
                          </w:rPr>
                          <w:fldChar w:fldCharType="separate"/>
                        </w:r>
                        <w:r w:rsidR="0075464A" w:rsidRPr="0075464A">
                          <w:rPr>
                            <w:rFonts w:asciiTheme="majorHAnsi" w:hAnsiTheme="majorHAnsi"/>
                            <w:noProof/>
                            <w:szCs w:val="44"/>
                          </w:rPr>
                          <w:t>1</w:t>
                        </w:r>
                        <w:r w:rsidRPr="006F6028">
                          <w:rPr>
                            <w:sz w:val="8"/>
                            <w:lang w:val="es-ES"/>
                          </w:rPr>
                          <w:fldChar w:fldCharType="end"/>
                        </w:r>
                      </w:p>
                    </w:sdtContent>
                  </w:sdt>
                </w:txbxContent>
              </v:textbox>
              <w10:wrap anchorx="page" anchory="page"/>
            </v:rect>
          </w:pict>
        </w:r>
      </w:sdtContent>
    </w:sdt>
    <w:r w:rsidR="000153F0" w:rsidRPr="00AB3662">
      <w:rPr>
        <w:rFonts w:ascii="Century Gothic" w:hAnsi="Century Gothic"/>
        <w:noProof/>
        <w:lang w:eastAsia="es-MX"/>
      </w:rPr>
      <w:drawing>
        <wp:anchor distT="0" distB="0" distL="114300" distR="114300" simplePos="0" relativeHeight="251658752" behindDoc="1" locked="0" layoutInCell="1" allowOverlap="1">
          <wp:simplePos x="0" y="0"/>
          <wp:positionH relativeFrom="column">
            <wp:posOffset>-921827</wp:posOffset>
          </wp:positionH>
          <wp:positionV relativeFrom="paragraph">
            <wp:posOffset>-369211</wp:posOffset>
          </wp:positionV>
          <wp:extent cx="834887" cy="834887"/>
          <wp:effectExtent l="0" t="0" r="0" b="0"/>
          <wp:wrapNone/>
          <wp:docPr id="3" name="Imagen 3" descr="C:\Users\alejandr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Desktop\logo 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887" cy="834887"/>
                  </a:xfrm>
                  <a:prstGeom prst="rect">
                    <a:avLst/>
                  </a:prstGeom>
                  <a:noFill/>
                  <a:ln>
                    <a:noFill/>
                  </a:ln>
                </pic:spPr>
              </pic:pic>
            </a:graphicData>
          </a:graphic>
        </wp:anchor>
      </w:drawing>
    </w:r>
    <w:r w:rsidR="000153F0" w:rsidRPr="00AB3662">
      <w:rPr>
        <w:rFonts w:ascii="Century Gothic" w:hAnsi="Century Gothic"/>
        <w:sz w:val="24"/>
        <w:szCs w:val="24"/>
      </w:rPr>
      <w:t>“2020, por un nuevo federalismo fiscal, justo y equitativo”</w:t>
    </w:r>
  </w:p>
  <w:p w:rsidR="000153F0" w:rsidRPr="00AB3662" w:rsidRDefault="000153F0" w:rsidP="006F6028">
    <w:pPr>
      <w:pStyle w:val="Piedepgina"/>
      <w:jc w:val="right"/>
      <w:rPr>
        <w:rFonts w:ascii="Century Gothic" w:hAnsi="Century Gothic"/>
        <w:sz w:val="24"/>
        <w:szCs w:val="24"/>
      </w:rPr>
    </w:pPr>
    <w:r w:rsidRPr="00AB3662">
      <w:rPr>
        <w:rFonts w:ascii="Century Gothic" w:hAnsi="Century Gothic"/>
        <w:sz w:val="24"/>
        <w:szCs w:val="24"/>
      </w:rPr>
      <w:t>“2020, año de la sanidad vegetal</w:t>
    </w:r>
  </w:p>
  <w:p w:rsidR="000153F0" w:rsidRPr="00AB3662" w:rsidRDefault="000153F0" w:rsidP="00DF30FE">
    <w:pPr>
      <w:pStyle w:val="Encabezado"/>
      <w:tabs>
        <w:tab w:val="clear" w:pos="4419"/>
        <w:tab w:val="clear" w:pos="8838"/>
        <w:tab w:val="left" w:pos="6937"/>
      </w:tabs>
      <w:jc w:val="center"/>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354"/>
    <w:multiLevelType w:val="hybridMultilevel"/>
    <w:tmpl w:val="EB34A69E"/>
    <w:lvl w:ilvl="0" w:tplc="61964D5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837D7"/>
    <w:multiLevelType w:val="hybridMultilevel"/>
    <w:tmpl w:val="9FB43A92"/>
    <w:lvl w:ilvl="0" w:tplc="3EAEFD72">
      <w:start w:val="1"/>
      <w:numFmt w:val="upperRoman"/>
      <w:lvlText w:val="%1."/>
      <w:lvlJc w:val="left"/>
      <w:pPr>
        <w:ind w:left="2420" w:hanging="720"/>
      </w:pPr>
      <w:rPr>
        <w:rFonts w:hint="default"/>
        <w:b w:val="0"/>
      </w:rPr>
    </w:lvl>
    <w:lvl w:ilvl="1" w:tplc="0C0A0019">
      <w:start w:val="1"/>
      <w:numFmt w:val="lowerLetter"/>
      <w:lvlText w:val="%2."/>
      <w:lvlJc w:val="left"/>
      <w:pPr>
        <w:ind w:left="2780" w:hanging="360"/>
      </w:pPr>
    </w:lvl>
    <w:lvl w:ilvl="2" w:tplc="0C0A001B" w:tentative="1">
      <w:start w:val="1"/>
      <w:numFmt w:val="lowerRoman"/>
      <w:lvlText w:val="%3."/>
      <w:lvlJc w:val="right"/>
      <w:pPr>
        <w:ind w:left="3500" w:hanging="180"/>
      </w:pPr>
    </w:lvl>
    <w:lvl w:ilvl="3" w:tplc="0C0A000F" w:tentative="1">
      <w:start w:val="1"/>
      <w:numFmt w:val="decimal"/>
      <w:lvlText w:val="%4."/>
      <w:lvlJc w:val="left"/>
      <w:pPr>
        <w:ind w:left="4220" w:hanging="360"/>
      </w:pPr>
    </w:lvl>
    <w:lvl w:ilvl="4" w:tplc="0C0A0019" w:tentative="1">
      <w:start w:val="1"/>
      <w:numFmt w:val="lowerLetter"/>
      <w:lvlText w:val="%5."/>
      <w:lvlJc w:val="left"/>
      <w:pPr>
        <w:ind w:left="4940" w:hanging="360"/>
      </w:pPr>
    </w:lvl>
    <w:lvl w:ilvl="5" w:tplc="0C0A001B" w:tentative="1">
      <w:start w:val="1"/>
      <w:numFmt w:val="lowerRoman"/>
      <w:lvlText w:val="%6."/>
      <w:lvlJc w:val="right"/>
      <w:pPr>
        <w:ind w:left="5660" w:hanging="180"/>
      </w:pPr>
    </w:lvl>
    <w:lvl w:ilvl="6" w:tplc="0C0A000F" w:tentative="1">
      <w:start w:val="1"/>
      <w:numFmt w:val="decimal"/>
      <w:lvlText w:val="%7."/>
      <w:lvlJc w:val="left"/>
      <w:pPr>
        <w:ind w:left="6380" w:hanging="360"/>
      </w:pPr>
    </w:lvl>
    <w:lvl w:ilvl="7" w:tplc="0C0A0019" w:tentative="1">
      <w:start w:val="1"/>
      <w:numFmt w:val="lowerLetter"/>
      <w:lvlText w:val="%8."/>
      <w:lvlJc w:val="left"/>
      <w:pPr>
        <w:ind w:left="7100" w:hanging="360"/>
      </w:pPr>
    </w:lvl>
    <w:lvl w:ilvl="8" w:tplc="0C0A001B" w:tentative="1">
      <w:start w:val="1"/>
      <w:numFmt w:val="lowerRoman"/>
      <w:lvlText w:val="%9."/>
      <w:lvlJc w:val="right"/>
      <w:pPr>
        <w:ind w:left="7820" w:hanging="180"/>
      </w:pPr>
    </w:lvl>
  </w:abstractNum>
  <w:abstractNum w:abstractNumId="3"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B5FE4"/>
    <w:multiLevelType w:val="hybridMultilevel"/>
    <w:tmpl w:val="929CD792"/>
    <w:lvl w:ilvl="0" w:tplc="55761450">
      <w:start w:val="1"/>
      <w:numFmt w:val="upperRoman"/>
      <w:lvlText w:val="%1."/>
      <w:lvlJc w:val="left"/>
      <w:pPr>
        <w:ind w:left="1080" w:hanging="720"/>
      </w:pPr>
      <w:rPr>
        <w:rFonts w:hint="default"/>
        <w:sz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130C5B"/>
    <w:multiLevelType w:val="hybridMultilevel"/>
    <w:tmpl w:val="A3906BEE"/>
    <w:lvl w:ilvl="0" w:tplc="49FA801E">
      <w:start w:val="1"/>
      <w:numFmt w:val="upperRoman"/>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043E0A"/>
    <w:multiLevelType w:val="hybridMultilevel"/>
    <w:tmpl w:val="EB34A69E"/>
    <w:lvl w:ilvl="0" w:tplc="61964D5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10"/>
  </w:num>
  <w:num w:numId="6">
    <w:abstractNumId w:val="7"/>
  </w:num>
  <w:num w:numId="7">
    <w:abstractNumId w:val="6"/>
  </w:num>
  <w:num w:numId="8">
    <w:abstractNumId w:val="4"/>
  </w:num>
  <w:num w:numId="9">
    <w:abstractNumId w:val="0"/>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8521C"/>
    <w:rsid w:val="00002C86"/>
    <w:rsid w:val="00010A10"/>
    <w:rsid w:val="000153F0"/>
    <w:rsid w:val="00016E31"/>
    <w:rsid w:val="00027229"/>
    <w:rsid w:val="000365AE"/>
    <w:rsid w:val="00055ECA"/>
    <w:rsid w:val="00056EA5"/>
    <w:rsid w:val="000577DD"/>
    <w:rsid w:val="00063FAC"/>
    <w:rsid w:val="000674DD"/>
    <w:rsid w:val="000733BF"/>
    <w:rsid w:val="00083815"/>
    <w:rsid w:val="000A69E0"/>
    <w:rsid w:val="000B7CB0"/>
    <w:rsid w:val="000C1695"/>
    <w:rsid w:val="000C7E7F"/>
    <w:rsid w:val="000D0725"/>
    <w:rsid w:val="000E1ECD"/>
    <w:rsid w:val="000F77FD"/>
    <w:rsid w:val="00105D27"/>
    <w:rsid w:val="00106FB9"/>
    <w:rsid w:val="00136A9E"/>
    <w:rsid w:val="001518D7"/>
    <w:rsid w:val="00153046"/>
    <w:rsid w:val="0015602E"/>
    <w:rsid w:val="00156DEC"/>
    <w:rsid w:val="001572CB"/>
    <w:rsid w:val="001838CE"/>
    <w:rsid w:val="00186629"/>
    <w:rsid w:val="001A3D6C"/>
    <w:rsid w:val="001B1C54"/>
    <w:rsid w:val="001E2D52"/>
    <w:rsid w:val="0020296E"/>
    <w:rsid w:val="00207AAC"/>
    <w:rsid w:val="00213D1C"/>
    <w:rsid w:val="002222A0"/>
    <w:rsid w:val="00222B97"/>
    <w:rsid w:val="002245E3"/>
    <w:rsid w:val="00234F1F"/>
    <w:rsid w:val="00241589"/>
    <w:rsid w:val="00252AF8"/>
    <w:rsid w:val="0025490B"/>
    <w:rsid w:val="00257D39"/>
    <w:rsid w:val="0026444B"/>
    <w:rsid w:val="00271E26"/>
    <w:rsid w:val="002831AD"/>
    <w:rsid w:val="00291082"/>
    <w:rsid w:val="002A1B8D"/>
    <w:rsid w:val="002A6565"/>
    <w:rsid w:val="002B07F2"/>
    <w:rsid w:val="002B4CAC"/>
    <w:rsid w:val="002D1721"/>
    <w:rsid w:val="002D3358"/>
    <w:rsid w:val="002E1306"/>
    <w:rsid w:val="002E1AED"/>
    <w:rsid w:val="00302C67"/>
    <w:rsid w:val="003132F2"/>
    <w:rsid w:val="00324158"/>
    <w:rsid w:val="00332461"/>
    <w:rsid w:val="003350DD"/>
    <w:rsid w:val="0034016E"/>
    <w:rsid w:val="00344802"/>
    <w:rsid w:val="00384F5D"/>
    <w:rsid w:val="0038521C"/>
    <w:rsid w:val="003864FD"/>
    <w:rsid w:val="003A0D8C"/>
    <w:rsid w:val="003A446B"/>
    <w:rsid w:val="003B3A14"/>
    <w:rsid w:val="003B6CED"/>
    <w:rsid w:val="003B7EEE"/>
    <w:rsid w:val="003D2624"/>
    <w:rsid w:val="003D3887"/>
    <w:rsid w:val="003D7C74"/>
    <w:rsid w:val="003F1E8B"/>
    <w:rsid w:val="003F2686"/>
    <w:rsid w:val="00410E49"/>
    <w:rsid w:val="00431762"/>
    <w:rsid w:val="00433078"/>
    <w:rsid w:val="00434B99"/>
    <w:rsid w:val="004401F2"/>
    <w:rsid w:val="00491A14"/>
    <w:rsid w:val="004A01F6"/>
    <w:rsid w:val="004B3C60"/>
    <w:rsid w:val="004E7C95"/>
    <w:rsid w:val="004F13DF"/>
    <w:rsid w:val="0050798B"/>
    <w:rsid w:val="005119CE"/>
    <w:rsid w:val="00562D1C"/>
    <w:rsid w:val="00570C90"/>
    <w:rsid w:val="0058533D"/>
    <w:rsid w:val="005A296D"/>
    <w:rsid w:val="005C1383"/>
    <w:rsid w:val="005C4A5C"/>
    <w:rsid w:val="005C7C2C"/>
    <w:rsid w:val="005D3D16"/>
    <w:rsid w:val="005E05CE"/>
    <w:rsid w:val="005E6184"/>
    <w:rsid w:val="005F44EE"/>
    <w:rsid w:val="005F74A6"/>
    <w:rsid w:val="00606F80"/>
    <w:rsid w:val="0061024A"/>
    <w:rsid w:val="0064386F"/>
    <w:rsid w:val="006543A0"/>
    <w:rsid w:val="00666375"/>
    <w:rsid w:val="00666F49"/>
    <w:rsid w:val="00672849"/>
    <w:rsid w:val="006B06AE"/>
    <w:rsid w:val="006C5A67"/>
    <w:rsid w:val="006E2862"/>
    <w:rsid w:val="006F0523"/>
    <w:rsid w:val="006F6028"/>
    <w:rsid w:val="007105F8"/>
    <w:rsid w:val="007320E4"/>
    <w:rsid w:val="00734437"/>
    <w:rsid w:val="007348A2"/>
    <w:rsid w:val="00746125"/>
    <w:rsid w:val="00746DA2"/>
    <w:rsid w:val="0075464A"/>
    <w:rsid w:val="007638DE"/>
    <w:rsid w:val="00764404"/>
    <w:rsid w:val="007646C7"/>
    <w:rsid w:val="00765F31"/>
    <w:rsid w:val="007722A8"/>
    <w:rsid w:val="0077651D"/>
    <w:rsid w:val="00781554"/>
    <w:rsid w:val="00786C97"/>
    <w:rsid w:val="00791CC2"/>
    <w:rsid w:val="00792A6C"/>
    <w:rsid w:val="007A4945"/>
    <w:rsid w:val="007B7DFC"/>
    <w:rsid w:val="007C417F"/>
    <w:rsid w:val="007E7968"/>
    <w:rsid w:val="007F7CAA"/>
    <w:rsid w:val="00804809"/>
    <w:rsid w:val="00804A66"/>
    <w:rsid w:val="00807404"/>
    <w:rsid w:val="00814756"/>
    <w:rsid w:val="0081756E"/>
    <w:rsid w:val="00835E11"/>
    <w:rsid w:val="00873A65"/>
    <w:rsid w:val="00885F4A"/>
    <w:rsid w:val="008869C6"/>
    <w:rsid w:val="0089264C"/>
    <w:rsid w:val="00893257"/>
    <w:rsid w:val="008B17A5"/>
    <w:rsid w:val="008B3E9D"/>
    <w:rsid w:val="008C265F"/>
    <w:rsid w:val="008D3A2F"/>
    <w:rsid w:val="008D71D7"/>
    <w:rsid w:val="008E36ED"/>
    <w:rsid w:val="008E7DE2"/>
    <w:rsid w:val="008F6239"/>
    <w:rsid w:val="0091403D"/>
    <w:rsid w:val="009567BD"/>
    <w:rsid w:val="00963954"/>
    <w:rsid w:val="009766B2"/>
    <w:rsid w:val="00993FEE"/>
    <w:rsid w:val="009A6042"/>
    <w:rsid w:val="009A7BD5"/>
    <w:rsid w:val="009B0D6C"/>
    <w:rsid w:val="009B3407"/>
    <w:rsid w:val="009C65C3"/>
    <w:rsid w:val="009D3E92"/>
    <w:rsid w:val="009D7204"/>
    <w:rsid w:val="009D762F"/>
    <w:rsid w:val="009F7073"/>
    <w:rsid w:val="00A05BAC"/>
    <w:rsid w:val="00A42F69"/>
    <w:rsid w:val="00A548B5"/>
    <w:rsid w:val="00A565B7"/>
    <w:rsid w:val="00A613CC"/>
    <w:rsid w:val="00A77EFC"/>
    <w:rsid w:val="00A83BD2"/>
    <w:rsid w:val="00A92212"/>
    <w:rsid w:val="00A93EFF"/>
    <w:rsid w:val="00AB3662"/>
    <w:rsid w:val="00AB6026"/>
    <w:rsid w:val="00AC577C"/>
    <w:rsid w:val="00AC7603"/>
    <w:rsid w:val="00AE2547"/>
    <w:rsid w:val="00AF0ACC"/>
    <w:rsid w:val="00B20BCF"/>
    <w:rsid w:val="00B32DCB"/>
    <w:rsid w:val="00B37107"/>
    <w:rsid w:val="00B40E0C"/>
    <w:rsid w:val="00B45C59"/>
    <w:rsid w:val="00B513AF"/>
    <w:rsid w:val="00B52AC2"/>
    <w:rsid w:val="00B63A91"/>
    <w:rsid w:val="00B7238F"/>
    <w:rsid w:val="00B8583B"/>
    <w:rsid w:val="00B95ABE"/>
    <w:rsid w:val="00BA0CF9"/>
    <w:rsid w:val="00BC178E"/>
    <w:rsid w:val="00BD0729"/>
    <w:rsid w:val="00BF1EE0"/>
    <w:rsid w:val="00C02898"/>
    <w:rsid w:val="00C02BF7"/>
    <w:rsid w:val="00C14023"/>
    <w:rsid w:val="00C151B9"/>
    <w:rsid w:val="00C4261E"/>
    <w:rsid w:val="00C51676"/>
    <w:rsid w:val="00C74048"/>
    <w:rsid w:val="00C83F1F"/>
    <w:rsid w:val="00C91F04"/>
    <w:rsid w:val="00CA24DC"/>
    <w:rsid w:val="00CB3CE8"/>
    <w:rsid w:val="00CD0818"/>
    <w:rsid w:val="00CD0F2D"/>
    <w:rsid w:val="00CF766D"/>
    <w:rsid w:val="00D01B2E"/>
    <w:rsid w:val="00D02B94"/>
    <w:rsid w:val="00D179C0"/>
    <w:rsid w:val="00D23C72"/>
    <w:rsid w:val="00D3194A"/>
    <w:rsid w:val="00D33292"/>
    <w:rsid w:val="00D367BE"/>
    <w:rsid w:val="00D41224"/>
    <w:rsid w:val="00D43399"/>
    <w:rsid w:val="00D948D7"/>
    <w:rsid w:val="00DD609E"/>
    <w:rsid w:val="00DD6A36"/>
    <w:rsid w:val="00DE58F0"/>
    <w:rsid w:val="00DF30FE"/>
    <w:rsid w:val="00E0137B"/>
    <w:rsid w:val="00E01EFA"/>
    <w:rsid w:val="00E058CB"/>
    <w:rsid w:val="00E06BE6"/>
    <w:rsid w:val="00E148E5"/>
    <w:rsid w:val="00E1627D"/>
    <w:rsid w:val="00E2233B"/>
    <w:rsid w:val="00E23123"/>
    <w:rsid w:val="00E41264"/>
    <w:rsid w:val="00E41D33"/>
    <w:rsid w:val="00E568B4"/>
    <w:rsid w:val="00E65D42"/>
    <w:rsid w:val="00E7239F"/>
    <w:rsid w:val="00E92B1C"/>
    <w:rsid w:val="00E94801"/>
    <w:rsid w:val="00E97862"/>
    <w:rsid w:val="00EA4B52"/>
    <w:rsid w:val="00EA515A"/>
    <w:rsid w:val="00EF50CF"/>
    <w:rsid w:val="00F0072F"/>
    <w:rsid w:val="00F02023"/>
    <w:rsid w:val="00F03973"/>
    <w:rsid w:val="00F15523"/>
    <w:rsid w:val="00F240CB"/>
    <w:rsid w:val="00F242F7"/>
    <w:rsid w:val="00F36A2B"/>
    <w:rsid w:val="00F36E9D"/>
    <w:rsid w:val="00F53841"/>
    <w:rsid w:val="00F71B1E"/>
    <w:rsid w:val="00F8381A"/>
    <w:rsid w:val="00F95137"/>
    <w:rsid w:val="00F964EC"/>
    <w:rsid w:val="00FD09B9"/>
    <w:rsid w:val="00FF0A94"/>
    <w:rsid w:val="00FF6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9ECC02D6-E94F-4E9F-AD6C-715D26E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0"/>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46125"/>
    <w:pPr>
      <w:ind w:left="720"/>
      <w:contextualSpacing/>
    </w:pPr>
  </w:style>
  <w:style w:type="paragraph" w:styleId="Textonotapie">
    <w:name w:val="footnote text"/>
    <w:basedOn w:val="Normal"/>
    <w:link w:val="TextonotapieCar"/>
    <w:uiPriority w:val="99"/>
    <w:unhideWhenUsed/>
    <w:rsid w:val="00746125"/>
    <w:pPr>
      <w:spacing w:after="0" w:line="240" w:lineRule="auto"/>
    </w:pPr>
    <w:rPr>
      <w:sz w:val="20"/>
      <w:szCs w:val="20"/>
    </w:rPr>
  </w:style>
  <w:style w:type="character" w:customStyle="1" w:styleId="TextonotapieCar">
    <w:name w:val="Texto nota pie Car"/>
    <w:basedOn w:val="Fuentedeprrafopredeter"/>
    <w:link w:val="Textonotapie"/>
    <w:uiPriority w:val="99"/>
    <w:rsid w:val="00746125"/>
    <w:rPr>
      <w:sz w:val="20"/>
      <w:szCs w:val="20"/>
    </w:rPr>
  </w:style>
  <w:style w:type="character" w:styleId="Refdenotaalpie">
    <w:name w:val="footnote reference"/>
    <w:basedOn w:val="Fuentedeprrafopredeter"/>
    <w:uiPriority w:val="99"/>
    <w:semiHidden/>
    <w:unhideWhenUsed/>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paragraph" w:styleId="NormalWeb">
    <w:name w:val="Normal (Web)"/>
    <w:basedOn w:val="Normal"/>
    <w:uiPriority w:val="99"/>
    <w:unhideWhenUsed/>
    <w:rsid w:val="007722A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CD0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818"/>
    <w:rPr>
      <w:rFonts w:ascii="Tahoma" w:hAnsi="Tahoma" w:cs="Tahoma"/>
      <w:sz w:val="16"/>
      <w:szCs w:val="16"/>
    </w:rPr>
  </w:style>
  <w:style w:type="table" w:styleId="Tablaconcuadrcula">
    <w:name w:val="Table Grid"/>
    <w:basedOn w:val="Tablanormal"/>
    <w:uiPriority w:val="59"/>
    <w:rsid w:val="007A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EA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333">
      <w:bodyDiv w:val="1"/>
      <w:marLeft w:val="0"/>
      <w:marRight w:val="0"/>
      <w:marTop w:val="0"/>
      <w:marBottom w:val="0"/>
      <w:divBdr>
        <w:top w:val="none" w:sz="0" w:space="0" w:color="auto"/>
        <w:left w:val="none" w:sz="0" w:space="0" w:color="auto"/>
        <w:bottom w:val="none" w:sz="0" w:space="0" w:color="auto"/>
        <w:right w:val="none" w:sz="0" w:space="0" w:color="auto"/>
      </w:divBdr>
    </w:div>
    <w:div w:id="434599423">
      <w:bodyDiv w:val="1"/>
      <w:marLeft w:val="0"/>
      <w:marRight w:val="0"/>
      <w:marTop w:val="0"/>
      <w:marBottom w:val="0"/>
      <w:divBdr>
        <w:top w:val="none" w:sz="0" w:space="0" w:color="auto"/>
        <w:left w:val="none" w:sz="0" w:space="0" w:color="auto"/>
        <w:bottom w:val="none" w:sz="0" w:space="0" w:color="auto"/>
        <w:right w:val="none" w:sz="0" w:space="0" w:color="auto"/>
      </w:divBdr>
      <w:divsChild>
        <w:div w:id="1201280369">
          <w:marLeft w:val="0"/>
          <w:marRight w:val="0"/>
          <w:marTop w:val="0"/>
          <w:marBottom w:val="0"/>
          <w:divBdr>
            <w:top w:val="none" w:sz="0" w:space="0" w:color="auto"/>
            <w:left w:val="none" w:sz="0" w:space="0" w:color="auto"/>
            <w:bottom w:val="none" w:sz="0" w:space="0" w:color="auto"/>
            <w:right w:val="none" w:sz="0" w:space="0" w:color="auto"/>
          </w:divBdr>
        </w:div>
      </w:divsChild>
    </w:div>
    <w:div w:id="1110006663">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default/files/documentos/2019-11/Retos-legislativos-2019.pdf" TargetMode="External"/><Relationship Id="rId1" Type="http://schemas.openxmlformats.org/officeDocument/2006/relationships/hyperlink" Target="https://www.gob.mx/sesnsp/articulos/informacion-sobre-violencia-contra-las-mujeres-incidencia-delictiva-y-llamadas-de-emergencia-9-1-1-febrero-2019?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D7AB2-72B5-406D-A767-225D1286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Usuario de Windows</cp:lastModifiedBy>
  <cp:revision>2</cp:revision>
  <cp:lastPrinted>2020-02-19T19:19:00Z</cp:lastPrinted>
  <dcterms:created xsi:type="dcterms:W3CDTF">2020-11-25T22:21:00Z</dcterms:created>
  <dcterms:modified xsi:type="dcterms:W3CDTF">2020-11-25T22:21:00Z</dcterms:modified>
</cp:coreProperties>
</file>