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69A6C2BE" w14:textId="413813EB" w:rsidR="00F00F15" w:rsidRPr="0012241A" w:rsidRDefault="00BC494E" w:rsidP="00191D17">
      <w:pPr>
        <w:spacing w:after="0" w:line="360" w:lineRule="auto"/>
        <w:jc w:val="both"/>
        <w:rPr>
          <w:rFonts w:ascii="Arial" w:hAnsi="Arial" w:cs="Arial"/>
          <w:i/>
          <w:sz w:val="24"/>
          <w:szCs w:val="24"/>
        </w:rPr>
      </w:pPr>
      <w:r>
        <w:rPr>
          <w:rFonts w:ascii="Arial" w:hAnsi="Arial" w:cs="Arial"/>
          <w:i/>
          <w:sz w:val="24"/>
          <w:szCs w:val="24"/>
        </w:rPr>
        <w:t>L</w:t>
      </w:r>
      <w:r w:rsidR="00EA21CD">
        <w:rPr>
          <w:rFonts w:ascii="Arial" w:hAnsi="Arial" w:cs="Arial"/>
          <w:i/>
          <w:sz w:val="24"/>
          <w:szCs w:val="24"/>
        </w:rPr>
        <w:t>a</w:t>
      </w:r>
      <w:r>
        <w:rPr>
          <w:rFonts w:ascii="Arial" w:hAnsi="Arial" w:cs="Arial"/>
          <w:i/>
          <w:sz w:val="24"/>
          <w:szCs w:val="24"/>
        </w:rPr>
        <w:t xml:space="preserve"> que suscribe,</w:t>
      </w:r>
      <w:r w:rsidR="00EA21CD">
        <w:rPr>
          <w:rFonts w:ascii="Arial" w:hAnsi="Arial" w:cs="Arial"/>
          <w:i/>
          <w:sz w:val="24"/>
          <w:szCs w:val="24"/>
        </w:rPr>
        <w:t xml:space="preserve"> </w:t>
      </w:r>
      <w:r>
        <w:rPr>
          <w:rFonts w:ascii="Arial" w:hAnsi="Arial" w:cs="Arial"/>
          <w:i/>
          <w:sz w:val="24"/>
          <w:szCs w:val="24"/>
        </w:rPr>
        <w:t xml:space="preserve">Diputada </w:t>
      </w:r>
      <w:r w:rsidRPr="00BC494E">
        <w:rPr>
          <w:rFonts w:ascii="Arial" w:hAnsi="Arial" w:cs="Arial"/>
          <w:b/>
          <w:bCs/>
          <w:i/>
          <w:sz w:val="24"/>
          <w:szCs w:val="24"/>
        </w:rPr>
        <w:t>Ana Georgina Zapata</w:t>
      </w:r>
      <w:r w:rsidR="00981CA4" w:rsidRPr="0012241A">
        <w:rPr>
          <w:rFonts w:ascii="Arial" w:hAnsi="Arial" w:cs="Arial"/>
          <w:i/>
          <w:sz w:val="24"/>
          <w:szCs w:val="24"/>
        </w:rPr>
        <w:t xml:space="preserve"> Diputad</w:t>
      </w:r>
      <w:r w:rsidR="00EA21CD">
        <w:rPr>
          <w:rFonts w:ascii="Arial" w:hAnsi="Arial" w:cs="Arial"/>
          <w:i/>
          <w:sz w:val="24"/>
          <w:szCs w:val="24"/>
        </w:rPr>
        <w:t>a</w:t>
      </w:r>
      <w:r w:rsidR="00981CA4" w:rsidRPr="0012241A">
        <w:rPr>
          <w:rFonts w:ascii="Arial" w:hAnsi="Arial" w:cs="Arial"/>
          <w:i/>
          <w:sz w:val="24"/>
          <w:szCs w:val="24"/>
        </w:rPr>
        <w:t xml:space="preserve"> de la LXV</w:t>
      </w:r>
      <w:r>
        <w:rPr>
          <w:rFonts w:ascii="Arial" w:hAnsi="Arial" w:cs="Arial"/>
          <w:i/>
          <w:sz w:val="24"/>
          <w:szCs w:val="24"/>
        </w:rPr>
        <w:t>I</w:t>
      </w:r>
      <w:r w:rsidR="00981CA4" w:rsidRPr="0012241A">
        <w:rPr>
          <w:rFonts w:ascii="Arial" w:hAnsi="Arial" w:cs="Arial"/>
          <w:i/>
          <w:sz w:val="24"/>
          <w:szCs w:val="24"/>
        </w:rPr>
        <w:t>I Legislatura del Honorable Congreso del Estado, integrant</w:t>
      </w:r>
      <w:r w:rsidR="00EA21CD">
        <w:rPr>
          <w:rFonts w:ascii="Arial" w:hAnsi="Arial" w:cs="Arial"/>
          <w:i/>
          <w:sz w:val="24"/>
          <w:szCs w:val="24"/>
        </w:rPr>
        <w:t>e</w:t>
      </w:r>
      <w:r w:rsidR="00981CA4" w:rsidRPr="0012241A">
        <w:rPr>
          <w:rFonts w:ascii="Arial" w:hAnsi="Arial" w:cs="Arial"/>
          <w:i/>
          <w:sz w:val="24"/>
          <w:szCs w:val="24"/>
        </w:rPr>
        <w:t xml:space="preserve"> al grupo parlamentario del Partido Revolucionario Institucional, </w:t>
      </w:r>
      <w:r w:rsidR="00981CA4" w:rsidRPr="0012241A">
        <w:rPr>
          <w:rFonts w:ascii="Arial" w:hAnsi="Arial" w:cs="Arial"/>
          <w:i/>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w:t>
      </w:r>
      <w:r>
        <w:rPr>
          <w:rFonts w:ascii="Arial" w:hAnsi="Arial" w:cs="Arial"/>
          <w:i/>
          <w:color w:val="000000"/>
          <w:sz w:val="24"/>
          <w:szCs w:val="24"/>
        </w:rPr>
        <w:t>cen</w:t>
      </w:r>
      <w:r w:rsidR="00981CA4" w:rsidRPr="0012241A">
        <w:rPr>
          <w:rFonts w:ascii="Arial" w:hAnsi="Arial" w:cs="Arial"/>
          <w:i/>
          <w:color w:val="000000"/>
          <w:sz w:val="24"/>
          <w:szCs w:val="24"/>
        </w:rPr>
        <w:t xml:space="preserve"> ante esta Honor</w:t>
      </w:r>
      <w:r w:rsidR="00DE224D">
        <w:rPr>
          <w:rFonts w:ascii="Arial" w:hAnsi="Arial" w:cs="Arial"/>
          <w:i/>
          <w:color w:val="000000"/>
          <w:sz w:val="24"/>
          <w:szCs w:val="24"/>
        </w:rPr>
        <w:t xml:space="preserve">able Representación a </w:t>
      </w:r>
      <w:r>
        <w:rPr>
          <w:rFonts w:ascii="Arial" w:hAnsi="Arial" w:cs="Arial"/>
          <w:i/>
          <w:color w:val="000000"/>
          <w:sz w:val="24"/>
          <w:szCs w:val="24"/>
        </w:rPr>
        <w:t xml:space="preserve">fin de </w:t>
      </w:r>
      <w:r w:rsidR="00DE224D">
        <w:rPr>
          <w:rFonts w:ascii="Arial" w:hAnsi="Arial" w:cs="Arial"/>
          <w:i/>
          <w:color w:val="000000"/>
          <w:sz w:val="24"/>
          <w:szCs w:val="24"/>
        </w:rPr>
        <w:t>presentar</w:t>
      </w:r>
      <w:r w:rsidR="00981CA4" w:rsidRPr="0012241A">
        <w:rPr>
          <w:rFonts w:ascii="Arial" w:hAnsi="Arial" w:cs="Arial"/>
          <w:i/>
          <w:color w:val="000000"/>
          <w:sz w:val="24"/>
          <w:szCs w:val="24"/>
        </w:rPr>
        <w:t xml:space="preserve"> </w:t>
      </w:r>
      <w:r w:rsidR="00960591" w:rsidRPr="00960591">
        <w:rPr>
          <w:rFonts w:ascii="Arial" w:hAnsi="Arial" w:cs="Arial"/>
          <w:b/>
          <w:i/>
          <w:color w:val="000000" w:themeColor="text1"/>
          <w:sz w:val="24"/>
          <w:szCs w:val="24"/>
        </w:rPr>
        <w:t xml:space="preserve">Iniciativa con carácter de </w:t>
      </w:r>
      <w:r w:rsidR="00FD1814">
        <w:rPr>
          <w:rFonts w:ascii="Arial" w:hAnsi="Arial" w:cs="Arial"/>
          <w:b/>
          <w:i/>
          <w:color w:val="000000" w:themeColor="text1"/>
          <w:sz w:val="24"/>
          <w:szCs w:val="24"/>
        </w:rPr>
        <w:t xml:space="preserve">Decreto con el propósito de </w:t>
      </w:r>
      <w:r w:rsidR="00EA21CD">
        <w:rPr>
          <w:rFonts w:ascii="Arial" w:hAnsi="Arial" w:cs="Arial"/>
          <w:b/>
          <w:i/>
          <w:color w:val="000000" w:themeColor="text1"/>
          <w:sz w:val="24"/>
          <w:szCs w:val="24"/>
        </w:rPr>
        <w:t>r</w:t>
      </w:r>
      <w:r w:rsidR="00FD1814">
        <w:rPr>
          <w:rFonts w:ascii="Arial" w:hAnsi="Arial" w:cs="Arial"/>
          <w:b/>
          <w:i/>
          <w:color w:val="000000" w:themeColor="text1"/>
          <w:sz w:val="24"/>
          <w:szCs w:val="24"/>
        </w:rPr>
        <w:t xml:space="preserve">eformar y adicionar </w:t>
      </w:r>
      <w:r w:rsidR="00EA21CD">
        <w:rPr>
          <w:rFonts w:ascii="Arial" w:hAnsi="Arial" w:cs="Arial"/>
          <w:b/>
          <w:i/>
          <w:color w:val="000000" w:themeColor="text1"/>
          <w:sz w:val="24"/>
          <w:szCs w:val="24"/>
        </w:rPr>
        <w:t>el artículo 150</w:t>
      </w:r>
      <w:r w:rsidR="00FD1814">
        <w:rPr>
          <w:rFonts w:ascii="Arial" w:hAnsi="Arial" w:cs="Arial"/>
          <w:b/>
          <w:i/>
          <w:color w:val="000000" w:themeColor="text1"/>
          <w:sz w:val="24"/>
          <w:szCs w:val="24"/>
        </w:rPr>
        <w:t xml:space="preserve"> de la </w:t>
      </w:r>
      <w:r w:rsidR="00695D68">
        <w:rPr>
          <w:rFonts w:ascii="Arial" w:hAnsi="Arial" w:cs="Arial"/>
          <w:b/>
          <w:i/>
          <w:color w:val="000000" w:themeColor="text1"/>
          <w:sz w:val="24"/>
          <w:szCs w:val="24"/>
        </w:rPr>
        <w:t xml:space="preserve">Ley de </w:t>
      </w:r>
      <w:r w:rsidR="00EA21CD">
        <w:rPr>
          <w:rFonts w:ascii="Arial" w:hAnsi="Arial" w:cs="Arial"/>
          <w:b/>
          <w:i/>
          <w:color w:val="000000" w:themeColor="text1"/>
          <w:sz w:val="24"/>
          <w:szCs w:val="24"/>
        </w:rPr>
        <w:t>Desarrollo Urbano Sostenible</w:t>
      </w:r>
      <w:r w:rsidR="00FD1814">
        <w:rPr>
          <w:rFonts w:ascii="Arial" w:hAnsi="Arial" w:cs="Arial"/>
          <w:b/>
          <w:i/>
          <w:color w:val="000000" w:themeColor="text1"/>
          <w:sz w:val="24"/>
          <w:szCs w:val="24"/>
        </w:rPr>
        <w:t xml:space="preserve"> del Estado de Chihuahua</w:t>
      </w:r>
      <w:r w:rsidR="00960591" w:rsidRPr="00960591">
        <w:rPr>
          <w:rFonts w:ascii="Arial" w:hAnsi="Arial" w:cs="Arial"/>
          <w:b/>
          <w:i/>
          <w:color w:val="000000" w:themeColor="text1"/>
          <w:sz w:val="24"/>
          <w:szCs w:val="24"/>
        </w:rPr>
        <w:t xml:space="preserve">, </w:t>
      </w:r>
      <w:r w:rsidR="00960591">
        <w:rPr>
          <w:rFonts w:ascii="Arial" w:hAnsi="Arial" w:cs="Arial"/>
          <w:i/>
          <w:sz w:val="24"/>
          <w:szCs w:val="24"/>
        </w:rPr>
        <w:t>lo expuesto</w:t>
      </w:r>
      <w:r w:rsidR="00F00F15" w:rsidRPr="0012241A">
        <w:rPr>
          <w:rFonts w:ascii="Arial" w:hAnsi="Arial" w:cs="Arial"/>
          <w:b/>
          <w:i/>
          <w:sz w:val="24"/>
          <w:szCs w:val="24"/>
        </w:rPr>
        <w:t xml:space="preserve"> </w:t>
      </w:r>
      <w:r w:rsidR="00F00F15" w:rsidRPr="0012241A">
        <w:rPr>
          <w:rFonts w:ascii="Arial" w:hAnsi="Arial" w:cs="Arial"/>
          <w:i/>
          <w:sz w:val="24"/>
          <w:szCs w:val="24"/>
        </w:rPr>
        <w:t>de conformidad a la siguiente:</w:t>
      </w:r>
    </w:p>
    <w:p w14:paraId="3D89CF8F" w14:textId="77777777" w:rsidR="00F00F15" w:rsidRPr="0012241A" w:rsidRDefault="00F00F15" w:rsidP="00191D17">
      <w:pPr>
        <w:spacing w:after="0" w:line="360" w:lineRule="auto"/>
        <w:jc w:val="both"/>
        <w:rPr>
          <w:rFonts w:ascii="Arial" w:hAnsi="Arial" w:cs="Arial"/>
          <w:i/>
          <w:sz w:val="24"/>
          <w:szCs w:val="24"/>
        </w:rPr>
      </w:pPr>
    </w:p>
    <w:p w14:paraId="6AEC874D" w14:textId="77777777" w:rsidR="00F00F15" w:rsidRPr="0012241A" w:rsidRDefault="00F00F15" w:rsidP="00191D17">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14:paraId="5ECD2B4A" w14:textId="77777777" w:rsidR="00FD1814" w:rsidRPr="00447956" w:rsidRDefault="00FD1814" w:rsidP="00447956">
      <w:pPr>
        <w:spacing w:after="0" w:line="360" w:lineRule="auto"/>
        <w:jc w:val="both"/>
        <w:rPr>
          <w:rFonts w:ascii="Arial" w:hAnsi="Arial" w:cs="Arial"/>
          <w:b/>
          <w:i/>
          <w:iCs/>
          <w:sz w:val="24"/>
          <w:szCs w:val="24"/>
        </w:rPr>
      </w:pPr>
    </w:p>
    <w:p w14:paraId="7BB93559" w14:textId="49A38A73" w:rsidR="00447956" w:rsidRPr="0044795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 xml:space="preserve">El cambio de uso de suelo es un concepto que de manera diferente se interpreta en la Ley de Desarrollo Urbano Sostenible del Estado de Chihuahua. Por una </w:t>
      </w:r>
      <w:r w:rsidRPr="00447956">
        <w:rPr>
          <w:rFonts w:ascii="Arial" w:hAnsi="Arial" w:cs="Arial"/>
          <w:i/>
          <w:iCs/>
          <w:sz w:val="24"/>
          <w:szCs w:val="24"/>
        </w:rPr>
        <w:t>parte,</w:t>
      </w:r>
      <w:r w:rsidRPr="00447956">
        <w:rPr>
          <w:rFonts w:ascii="Arial" w:hAnsi="Arial" w:cs="Arial"/>
          <w:i/>
          <w:iCs/>
          <w:sz w:val="24"/>
          <w:szCs w:val="24"/>
        </w:rPr>
        <w:t xml:space="preserve"> el artículo 55 dispone que, para la modificación o actualización de los </w:t>
      </w:r>
      <w:r w:rsidRPr="00447956">
        <w:rPr>
          <w:rFonts w:ascii="Arial" w:hAnsi="Arial" w:cs="Arial"/>
          <w:bCs/>
          <w:i/>
          <w:iCs/>
          <w:sz w:val="24"/>
          <w:szCs w:val="24"/>
        </w:rPr>
        <w:t>planes o programas</w:t>
      </w:r>
      <w:r w:rsidRPr="00447956">
        <w:rPr>
          <w:rFonts w:ascii="Arial" w:hAnsi="Arial" w:cs="Arial"/>
          <w:bCs/>
          <w:i/>
          <w:iCs/>
          <w:sz w:val="24"/>
          <w:szCs w:val="24"/>
        </w:rPr>
        <w:t xml:space="preserve"> </w:t>
      </w:r>
      <w:r w:rsidRPr="00447956">
        <w:rPr>
          <w:rFonts w:ascii="Arial" w:hAnsi="Arial" w:cs="Arial"/>
          <w:i/>
          <w:iCs/>
          <w:sz w:val="24"/>
          <w:szCs w:val="24"/>
        </w:rPr>
        <w:t xml:space="preserve">a que se refiere esta Ley, se seguirá el mismo procedimiento que para su aprobación, y que: </w:t>
      </w:r>
    </w:p>
    <w:p w14:paraId="0B40A001" w14:textId="0554D6F1" w:rsidR="00447956" w:rsidRPr="0044795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 xml:space="preserve">“Los Municipios del Estado podrán aprobar modificaciones menores a los planes o programas de su competencia, tales como cambio de uso del suelo a otro, siempre y cuando no sea de impacto significativo de acuerdo a lo estipulado en el artículo 164 del presente ordenamiento, el cambio de la densidad e intensidad de su aprovechamiento o el cambio de la altura máxima de construcción permitida, </w:t>
      </w:r>
      <w:r w:rsidRPr="00447956">
        <w:rPr>
          <w:rFonts w:ascii="Arial" w:hAnsi="Arial" w:cs="Arial"/>
          <w:i/>
          <w:iCs/>
          <w:sz w:val="24"/>
          <w:szCs w:val="24"/>
        </w:rPr>
        <w:lastRenderedPageBreak/>
        <w:t>siempre y cuando no se modifique el Límite del Centro de Población, no se altere la delimitación entre las áreas urbanizables y las no urbanizables, o se afecten las características de la estructura urbana prevista en el Plan o Programa de Desarrollo Urbano Sostenible de Centro de Población</w:t>
      </w:r>
      <w:r w:rsidR="003B34C6">
        <w:rPr>
          <w:rFonts w:ascii="Arial" w:hAnsi="Arial" w:cs="Arial"/>
          <w:i/>
          <w:iCs/>
          <w:sz w:val="24"/>
          <w:szCs w:val="24"/>
        </w:rPr>
        <w:t>”</w:t>
      </w:r>
      <w:r w:rsidRPr="00447956">
        <w:rPr>
          <w:rFonts w:ascii="Arial" w:hAnsi="Arial" w:cs="Arial"/>
          <w:i/>
          <w:iCs/>
          <w:sz w:val="24"/>
          <w:szCs w:val="24"/>
        </w:rPr>
        <w:t>.</w:t>
      </w:r>
    </w:p>
    <w:p w14:paraId="494705D4" w14:textId="3C8EF42E" w:rsidR="00447956" w:rsidRPr="0044795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 xml:space="preserve">Por otra </w:t>
      </w:r>
      <w:r w:rsidR="003B34C6" w:rsidRPr="00447956">
        <w:rPr>
          <w:rFonts w:ascii="Arial" w:hAnsi="Arial" w:cs="Arial"/>
          <w:i/>
          <w:iCs/>
          <w:sz w:val="24"/>
          <w:szCs w:val="24"/>
        </w:rPr>
        <w:t>parte,</w:t>
      </w:r>
      <w:r w:rsidRPr="00447956">
        <w:rPr>
          <w:rFonts w:ascii="Arial" w:hAnsi="Arial" w:cs="Arial"/>
          <w:i/>
          <w:iCs/>
          <w:sz w:val="24"/>
          <w:szCs w:val="24"/>
        </w:rPr>
        <w:t xml:space="preserve"> el artículo 150 de la misma Ley, dispone entre otras hipótesis </w:t>
      </w:r>
      <w:r w:rsidR="003B34C6" w:rsidRPr="00447956">
        <w:rPr>
          <w:rFonts w:ascii="Arial" w:hAnsi="Arial" w:cs="Arial"/>
          <w:i/>
          <w:iCs/>
          <w:sz w:val="24"/>
          <w:szCs w:val="24"/>
        </w:rPr>
        <w:t>legales, que</w:t>
      </w:r>
      <w:r w:rsidRPr="00447956">
        <w:rPr>
          <w:rFonts w:ascii="Arial" w:hAnsi="Arial" w:cs="Arial"/>
          <w:i/>
          <w:iCs/>
          <w:sz w:val="24"/>
          <w:szCs w:val="24"/>
        </w:rPr>
        <w:t xml:space="preserve">: Los Municipios podrán autorizar el cambio de uso de suelo y, en su caso, modificar los </w:t>
      </w:r>
      <w:r w:rsidRPr="00447956">
        <w:rPr>
          <w:rFonts w:ascii="Arial" w:hAnsi="Arial" w:cs="Arial"/>
          <w:b/>
          <w:i/>
          <w:iCs/>
          <w:sz w:val="24"/>
          <w:szCs w:val="24"/>
        </w:rPr>
        <w:t>componentes del potencial urbano,</w:t>
      </w:r>
      <w:r w:rsidRPr="00447956">
        <w:rPr>
          <w:rFonts w:ascii="Arial" w:hAnsi="Arial" w:cs="Arial"/>
          <w:i/>
          <w:iCs/>
          <w:sz w:val="24"/>
          <w:szCs w:val="24"/>
        </w:rPr>
        <w:t xml:space="preserve"> en los siguientes </w:t>
      </w:r>
      <w:r w:rsidR="003B34C6" w:rsidRPr="00447956">
        <w:rPr>
          <w:rFonts w:ascii="Arial" w:hAnsi="Arial" w:cs="Arial"/>
          <w:i/>
          <w:iCs/>
          <w:sz w:val="24"/>
          <w:szCs w:val="24"/>
        </w:rPr>
        <w:t>casos:</w:t>
      </w:r>
      <w:r w:rsidRPr="00447956">
        <w:rPr>
          <w:rFonts w:ascii="Arial" w:hAnsi="Arial" w:cs="Arial"/>
          <w:i/>
          <w:iCs/>
          <w:sz w:val="24"/>
          <w:szCs w:val="24"/>
        </w:rPr>
        <w:t xml:space="preserve"> </w:t>
      </w:r>
    </w:p>
    <w:p w14:paraId="44B76A16" w14:textId="5A926A57" w:rsidR="00447956" w:rsidRPr="0044795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Es decir</w:t>
      </w:r>
      <w:r w:rsidR="003B34C6">
        <w:rPr>
          <w:rFonts w:ascii="Arial" w:hAnsi="Arial" w:cs="Arial"/>
          <w:i/>
          <w:iCs/>
          <w:sz w:val="24"/>
          <w:szCs w:val="24"/>
        </w:rPr>
        <w:t xml:space="preserve"> </w:t>
      </w:r>
      <w:r w:rsidR="003B34C6" w:rsidRPr="00447956">
        <w:rPr>
          <w:rFonts w:ascii="Arial" w:hAnsi="Arial" w:cs="Arial"/>
          <w:i/>
          <w:iCs/>
          <w:sz w:val="24"/>
          <w:szCs w:val="24"/>
        </w:rPr>
        <w:t>qu</w:t>
      </w:r>
      <w:r w:rsidR="003B34C6">
        <w:rPr>
          <w:rFonts w:ascii="Arial" w:hAnsi="Arial" w:cs="Arial"/>
          <w:i/>
          <w:iCs/>
          <w:sz w:val="24"/>
          <w:szCs w:val="24"/>
        </w:rPr>
        <w:t>e,</w:t>
      </w:r>
      <w:r w:rsidRPr="00447956">
        <w:rPr>
          <w:rFonts w:ascii="Arial" w:hAnsi="Arial" w:cs="Arial"/>
          <w:i/>
          <w:iCs/>
          <w:sz w:val="24"/>
          <w:szCs w:val="24"/>
        </w:rPr>
        <w:t xml:space="preserve"> de acuerdo a estas dos disposiciones jurídicas, los particulares tienen dos formas para solicitar el cambio de uso de suelo de un inmueble. en una con tendencia a modificar los planes o Programas al Plan de Desarrollo Urbano de su Municipio, y en la otra, se prepondera modificar los </w:t>
      </w:r>
      <w:r w:rsidRPr="00447956">
        <w:rPr>
          <w:rFonts w:ascii="Arial" w:hAnsi="Arial" w:cs="Arial"/>
          <w:b/>
          <w:i/>
          <w:iCs/>
          <w:sz w:val="24"/>
          <w:szCs w:val="24"/>
        </w:rPr>
        <w:t xml:space="preserve">componentes del potencial urbano, </w:t>
      </w:r>
      <w:r w:rsidRPr="00447956">
        <w:rPr>
          <w:rFonts w:ascii="Arial" w:hAnsi="Arial" w:cs="Arial"/>
          <w:i/>
          <w:iCs/>
          <w:sz w:val="24"/>
          <w:szCs w:val="24"/>
        </w:rPr>
        <w:t>de una determinada zona de un centro de población.</w:t>
      </w:r>
    </w:p>
    <w:p w14:paraId="4B6DA030" w14:textId="1A0D577D" w:rsidR="00447956" w:rsidRPr="0044795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 xml:space="preserve">En la primera de las </w:t>
      </w:r>
      <w:r w:rsidR="003B34C6" w:rsidRPr="00447956">
        <w:rPr>
          <w:rFonts w:ascii="Arial" w:hAnsi="Arial" w:cs="Arial"/>
          <w:i/>
          <w:iCs/>
          <w:sz w:val="24"/>
          <w:szCs w:val="24"/>
        </w:rPr>
        <w:t>formas,</w:t>
      </w:r>
      <w:r w:rsidRPr="00447956">
        <w:rPr>
          <w:rFonts w:ascii="Arial" w:hAnsi="Arial" w:cs="Arial"/>
          <w:i/>
          <w:iCs/>
          <w:sz w:val="24"/>
          <w:szCs w:val="24"/>
        </w:rPr>
        <w:t xml:space="preserve"> es decir</w:t>
      </w:r>
      <w:r w:rsidR="003B34C6">
        <w:rPr>
          <w:rFonts w:ascii="Arial" w:hAnsi="Arial" w:cs="Arial"/>
          <w:i/>
          <w:iCs/>
          <w:sz w:val="24"/>
          <w:szCs w:val="24"/>
        </w:rPr>
        <w:t xml:space="preserve"> </w:t>
      </w:r>
      <w:r w:rsidRPr="00447956">
        <w:rPr>
          <w:rFonts w:ascii="Arial" w:hAnsi="Arial" w:cs="Arial"/>
          <w:i/>
          <w:iCs/>
          <w:sz w:val="24"/>
          <w:szCs w:val="24"/>
        </w:rPr>
        <w:t>cuando la solicitud del particular refiere a una modificación de planes o programas al PDU. reviste un procedimiento de autorización específico en el artículo 54 de la Ley multicitada, donde el municipio tienen la obligación de difundir los proyectos que se les presentan para su autorización y se somete a consulta y opinión de la ciudadanía, organizaciones de la sociedad civil, autoridades de los tres órdenes de gobierno, y durante un plazo no menor de 60 días; se llevan a cabo audiencias públicas con la ciudadanía, en donde de acuerdo con la ley, se deben exponer  los proyectos y recibir sugerencias y planteamientos de los interesados,   sobre lo cual finalmente el Municipio emite su dictamen de congruencia del proyecto con la Ley que lo prevé.</w:t>
      </w:r>
    </w:p>
    <w:p w14:paraId="47A7353E" w14:textId="2863B7F2" w:rsidR="00447956" w:rsidRPr="0044795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 xml:space="preserve">La segunda forma para modificar el uso de suelo contemplado en el artículo 150 de la Ley, no contempla este procedimiento, ya que su fin no es modificar un Plan o </w:t>
      </w:r>
      <w:r w:rsidRPr="00447956">
        <w:rPr>
          <w:rFonts w:ascii="Arial" w:hAnsi="Arial" w:cs="Arial"/>
          <w:i/>
          <w:iCs/>
          <w:sz w:val="24"/>
          <w:szCs w:val="24"/>
        </w:rPr>
        <w:lastRenderedPageBreak/>
        <w:t xml:space="preserve">Programa sino </w:t>
      </w:r>
      <w:r w:rsidR="00353D3B" w:rsidRPr="00353D3B">
        <w:rPr>
          <w:rFonts w:ascii="Arial" w:hAnsi="Arial" w:cs="Arial"/>
          <w:b/>
          <w:bCs/>
          <w:i/>
          <w:iCs/>
          <w:sz w:val="24"/>
          <w:szCs w:val="24"/>
        </w:rPr>
        <w:t>e</w:t>
      </w:r>
      <w:r w:rsidRPr="00447956">
        <w:rPr>
          <w:rFonts w:ascii="Arial" w:hAnsi="Arial" w:cs="Arial"/>
          <w:b/>
          <w:i/>
          <w:iCs/>
          <w:sz w:val="24"/>
          <w:szCs w:val="24"/>
        </w:rPr>
        <w:t xml:space="preserve">l componente del potencial urbano, </w:t>
      </w:r>
      <w:r w:rsidRPr="00447956">
        <w:rPr>
          <w:rFonts w:ascii="Arial" w:hAnsi="Arial" w:cs="Arial"/>
          <w:i/>
          <w:iCs/>
          <w:sz w:val="24"/>
          <w:szCs w:val="24"/>
        </w:rPr>
        <w:t>de una determinada zona de un centro de población, por lo que únicamente se limita a exigir determinados requisitos al solicitante, sin que exista la participación ciudadana en el proceso de autorización.</w:t>
      </w:r>
    </w:p>
    <w:p w14:paraId="74B26343" w14:textId="2590EA99" w:rsidR="00447956" w:rsidRPr="0044795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Sin duda alguna, sabemos que las modificaciones de los usos de benefician o repercuten el entorno de un centro de población, ya que estos cambian la situación ambiental, vial e imagen urbana, y cuando repercuten, desestabilizan las formas de convivencia de sus habitantes, por lo que es necesario que cualquier proyecto que se ingrese para su revisión ante la instancia correspondiente y que motive el cambio de un uso de suelo, sus consecuencias colaterales, deben ser benéficas para los habitantes y no obstruir o entorpecer la forma de vida que ya vienen desarrollando.</w:t>
      </w:r>
    </w:p>
    <w:p w14:paraId="7A288379" w14:textId="77777777" w:rsidR="00FA07B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Las situaciones de hecho que se han presentado en los últimos años y que han motivado los cambios de uso de suelo a petición de particulares en el municipio de Chihuahua, en su gran mayoría han carecido de la anuencia de la ciudadanía, dado que la autoridad conocedora y que resuelve estos asuntos, no se le exige este requisito, siendo que por disposición constitucional, los municipios al momento de emitir o aplicar sus normas deben contemplar la participación ciudadana, como lo señala el artículo 115 Constitucional y el mismo artículo 29 del Código Municipal</w:t>
      </w:r>
      <w:r w:rsidR="00FA07B6">
        <w:rPr>
          <w:rFonts w:ascii="Arial" w:hAnsi="Arial" w:cs="Arial"/>
          <w:i/>
          <w:iCs/>
          <w:sz w:val="24"/>
          <w:szCs w:val="24"/>
        </w:rPr>
        <w:t>.</w:t>
      </w:r>
      <w:r w:rsidRPr="00447956">
        <w:rPr>
          <w:rFonts w:ascii="Arial" w:hAnsi="Arial" w:cs="Arial"/>
          <w:i/>
          <w:iCs/>
          <w:sz w:val="24"/>
          <w:szCs w:val="24"/>
        </w:rPr>
        <w:t xml:space="preserve"> </w:t>
      </w:r>
    </w:p>
    <w:p w14:paraId="7A96F613" w14:textId="14A78867" w:rsidR="00447956" w:rsidRPr="00447956" w:rsidRDefault="00FA07B6" w:rsidP="00447956">
      <w:pPr>
        <w:spacing w:line="360" w:lineRule="auto"/>
        <w:jc w:val="both"/>
        <w:rPr>
          <w:rFonts w:ascii="Arial" w:hAnsi="Arial" w:cs="Arial"/>
          <w:i/>
          <w:iCs/>
          <w:sz w:val="24"/>
          <w:szCs w:val="24"/>
        </w:rPr>
      </w:pPr>
      <w:r>
        <w:rPr>
          <w:rFonts w:ascii="Arial" w:hAnsi="Arial" w:cs="Arial"/>
          <w:i/>
          <w:iCs/>
          <w:sz w:val="24"/>
          <w:szCs w:val="24"/>
        </w:rPr>
        <w:t>D</w:t>
      </w:r>
      <w:r w:rsidR="00447956" w:rsidRPr="00447956">
        <w:rPr>
          <w:rFonts w:ascii="Arial" w:hAnsi="Arial" w:cs="Arial"/>
          <w:i/>
          <w:iCs/>
          <w:sz w:val="24"/>
          <w:szCs w:val="24"/>
        </w:rPr>
        <w:t>ebemos concluir que sí existe la necesidad de darle participación a la ciudadanía y adecuar nuestras legislaciones, de tal forma que no se deje fuera a quienes se les repercute con acciones urbanas, donde únicamente gana el que desarrolla, y se deja sin defensa a los ciudadanos.</w:t>
      </w:r>
    </w:p>
    <w:p w14:paraId="0C6B371C" w14:textId="49977814" w:rsidR="00447956" w:rsidRPr="0044795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 xml:space="preserve">Dos situaciones de reciente acontecimiento nos llevan a la reflexión, de que se deben modificar la disposición jurídica que regula los requisitos para el cambio de </w:t>
      </w:r>
      <w:r w:rsidRPr="00447956">
        <w:rPr>
          <w:rFonts w:ascii="Arial" w:hAnsi="Arial" w:cs="Arial"/>
          <w:i/>
          <w:iCs/>
          <w:sz w:val="24"/>
          <w:szCs w:val="24"/>
        </w:rPr>
        <w:lastRenderedPageBreak/>
        <w:t>usos de suelo cuando se trata del procedimiento establecido en el artículo 150 de la Ley de Desarrollo urbano Sostenible del Estado de Chihuahua: La autorización por parte del Municipio de Chihuahua, del cambio de uso de suelo, y la anuencia de este para el establecimiento de una gasolinera en las faldas del Cerro Grande, la cual generó controversia con diversos grupos ambientalista</w:t>
      </w:r>
      <w:r w:rsidR="00FA07B6">
        <w:rPr>
          <w:rFonts w:ascii="Arial" w:hAnsi="Arial" w:cs="Arial"/>
          <w:i/>
          <w:iCs/>
          <w:sz w:val="24"/>
          <w:szCs w:val="24"/>
        </w:rPr>
        <w:t>s</w:t>
      </w:r>
      <w:r w:rsidRPr="00447956">
        <w:rPr>
          <w:rFonts w:ascii="Arial" w:hAnsi="Arial" w:cs="Arial"/>
          <w:i/>
          <w:iCs/>
          <w:sz w:val="24"/>
          <w:szCs w:val="24"/>
        </w:rPr>
        <w:t xml:space="preserve"> los cuales afirmaban que la instalación de la misma generaba un perjuicio ambiental ya que se estaba alterando el ecosistema natural propio del Cerro Grande.</w:t>
      </w:r>
    </w:p>
    <w:p w14:paraId="082DD88F" w14:textId="2B808880" w:rsidR="00447956" w:rsidRPr="0044795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 xml:space="preserve">Una segunda acción urbana fue la que se </w:t>
      </w:r>
      <w:r w:rsidR="003B34C6" w:rsidRPr="00447956">
        <w:rPr>
          <w:rFonts w:ascii="Arial" w:hAnsi="Arial" w:cs="Arial"/>
          <w:i/>
          <w:iCs/>
          <w:sz w:val="24"/>
          <w:szCs w:val="24"/>
        </w:rPr>
        <w:t>llevó</w:t>
      </w:r>
      <w:r w:rsidRPr="00447956">
        <w:rPr>
          <w:rFonts w:ascii="Arial" w:hAnsi="Arial" w:cs="Arial"/>
          <w:i/>
          <w:iCs/>
          <w:sz w:val="24"/>
          <w:szCs w:val="24"/>
        </w:rPr>
        <w:t xml:space="preserve"> a cabo en las inmediaciones del parque denominado “El Platanito”, en el cual se </w:t>
      </w:r>
      <w:r w:rsidR="003B34C6">
        <w:rPr>
          <w:rFonts w:ascii="Arial" w:hAnsi="Arial" w:cs="Arial"/>
          <w:i/>
          <w:iCs/>
          <w:sz w:val="24"/>
          <w:szCs w:val="24"/>
        </w:rPr>
        <w:t>realizó</w:t>
      </w:r>
      <w:r w:rsidRPr="00447956">
        <w:rPr>
          <w:rFonts w:ascii="Arial" w:hAnsi="Arial" w:cs="Arial"/>
          <w:i/>
          <w:iCs/>
          <w:sz w:val="24"/>
          <w:szCs w:val="24"/>
        </w:rPr>
        <w:t xml:space="preserve"> la </w:t>
      </w:r>
      <w:r w:rsidR="00FA07B6">
        <w:rPr>
          <w:rFonts w:ascii="Arial" w:hAnsi="Arial" w:cs="Arial"/>
          <w:i/>
          <w:iCs/>
          <w:sz w:val="24"/>
          <w:szCs w:val="24"/>
        </w:rPr>
        <w:t>edificación</w:t>
      </w:r>
      <w:r w:rsidRPr="00447956">
        <w:rPr>
          <w:rFonts w:ascii="Arial" w:hAnsi="Arial" w:cs="Arial"/>
          <w:i/>
          <w:iCs/>
          <w:sz w:val="24"/>
          <w:szCs w:val="24"/>
        </w:rPr>
        <w:t xml:space="preserve"> de </w:t>
      </w:r>
      <w:r w:rsidR="00353D3B">
        <w:rPr>
          <w:rFonts w:ascii="Arial" w:hAnsi="Arial" w:cs="Arial"/>
          <w:i/>
          <w:iCs/>
          <w:sz w:val="24"/>
          <w:szCs w:val="24"/>
        </w:rPr>
        <w:t>una</w:t>
      </w:r>
      <w:r w:rsidRPr="00447956">
        <w:rPr>
          <w:rFonts w:ascii="Arial" w:hAnsi="Arial" w:cs="Arial"/>
          <w:i/>
          <w:iCs/>
          <w:sz w:val="24"/>
          <w:szCs w:val="24"/>
        </w:rPr>
        <w:t xml:space="preserve"> gasolinera. Durante todo el proceso de </w:t>
      </w:r>
      <w:r w:rsidR="00FA07B6">
        <w:rPr>
          <w:rFonts w:ascii="Arial" w:hAnsi="Arial" w:cs="Arial"/>
          <w:i/>
          <w:iCs/>
          <w:sz w:val="24"/>
          <w:szCs w:val="24"/>
        </w:rPr>
        <w:t>construcción</w:t>
      </w:r>
      <w:r w:rsidRPr="00447956">
        <w:rPr>
          <w:rFonts w:ascii="Arial" w:hAnsi="Arial" w:cs="Arial"/>
          <w:i/>
          <w:iCs/>
          <w:sz w:val="24"/>
          <w:szCs w:val="24"/>
        </w:rPr>
        <w:t xml:space="preserve">, los vecinos hicieron evidente su descontento con la instalación de la misma, haciéndose presentes en sesiones de cabildo, invitando a diferentes expresiones políticas para hacer valer sus intereses. Al final del proceso la </w:t>
      </w:r>
      <w:r w:rsidR="00FA07B6">
        <w:rPr>
          <w:rFonts w:ascii="Arial" w:hAnsi="Arial" w:cs="Arial"/>
          <w:i/>
          <w:iCs/>
          <w:sz w:val="24"/>
          <w:szCs w:val="24"/>
        </w:rPr>
        <w:t>construcción</w:t>
      </w:r>
      <w:r w:rsidRPr="00447956">
        <w:rPr>
          <w:rFonts w:ascii="Arial" w:hAnsi="Arial" w:cs="Arial"/>
          <w:i/>
          <w:iCs/>
          <w:sz w:val="24"/>
          <w:szCs w:val="24"/>
        </w:rPr>
        <w:t xml:space="preserve"> de la gasolinera salió avante, a pesar del descontento de los vecinos de la colonia Infonavit Nacional.</w:t>
      </w:r>
    </w:p>
    <w:p w14:paraId="61D99FF1" w14:textId="76B8101A" w:rsidR="00447956" w:rsidRPr="00447956" w:rsidRDefault="00447956" w:rsidP="00447956">
      <w:pPr>
        <w:spacing w:line="360" w:lineRule="auto"/>
        <w:jc w:val="both"/>
        <w:rPr>
          <w:rFonts w:ascii="Arial" w:hAnsi="Arial" w:cs="Arial"/>
          <w:i/>
          <w:iCs/>
          <w:sz w:val="24"/>
          <w:szCs w:val="24"/>
        </w:rPr>
      </w:pPr>
      <w:r w:rsidRPr="00447956">
        <w:rPr>
          <w:rFonts w:ascii="Arial" w:hAnsi="Arial" w:cs="Arial"/>
          <w:i/>
          <w:iCs/>
          <w:sz w:val="24"/>
          <w:szCs w:val="24"/>
        </w:rPr>
        <w:t xml:space="preserve">Quienes proponemos la modificación a esta legislación estatal, estamos a favor de generar oportunidades de desarrollo y crecimiento financiero para todos, pero también queremos que estas acciones urbanas que impulsan el desarrollo de los centros de población, se hagan con el debido cuidado de la integridad, salud y bienestar de los ciudadanos, evitar las confrontaciones ciudadanas por imposiciones gubernamentales, y que desde una norma legal se prevea la participación de los ciudadanos, previo a que se realicen acciones que en el futuro repercutan en </w:t>
      </w:r>
      <w:r w:rsidR="00FA07B6">
        <w:rPr>
          <w:rFonts w:ascii="Arial" w:hAnsi="Arial" w:cs="Arial"/>
          <w:i/>
          <w:iCs/>
          <w:sz w:val="24"/>
          <w:szCs w:val="24"/>
        </w:rPr>
        <w:t>el</w:t>
      </w:r>
      <w:r w:rsidRPr="00447956">
        <w:rPr>
          <w:rFonts w:ascii="Arial" w:hAnsi="Arial" w:cs="Arial"/>
          <w:i/>
          <w:iCs/>
          <w:sz w:val="24"/>
          <w:szCs w:val="24"/>
        </w:rPr>
        <w:t xml:space="preserve"> estilo de vida que tiene cada habitante.</w:t>
      </w:r>
    </w:p>
    <w:p w14:paraId="05122D0D" w14:textId="77777777" w:rsidR="005067A1" w:rsidRDefault="005067A1" w:rsidP="00191D17">
      <w:pPr>
        <w:spacing w:after="0" w:line="360" w:lineRule="auto"/>
        <w:jc w:val="both"/>
        <w:rPr>
          <w:rFonts w:ascii="Arial" w:hAnsi="Arial" w:cs="Arial"/>
          <w:i/>
          <w:sz w:val="24"/>
          <w:szCs w:val="24"/>
        </w:rPr>
      </w:pPr>
    </w:p>
    <w:p w14:paraId="2557038C" w14:textId="04BE291C" w:rsidR="00F00F15" w:rsidRPr="0012241A" w:rsidRDefault="005067A1" w:rsidP="00191D17">
      <w:pPr>
        <w:spacing w:after="0" w:line="360" w:lineRule="auto"/>
        <w:jc w:val="both"/>
        <w:rPr>
          <w:rFonts w:ascii="Arial" w:eastAsia="Times New Roman" w:hAnsi="Arial" w:cs="Arial"/>
          <w:i/>
          <w:sz w:val="24"/>
          <w:szCs w:val="24"/>
          <w:lang w:val="es-ES" w:eastAsia="es-MX"/>
        </w:rPr>
      </w:pPr>
      <w:r>
        <w:rPr>
          <w:rFonts w:ascii="Arial" w:hAnsi="Arial" w:cs="Arial"/>
          <w:i/>
          <w:sz w:val="24"/>
          <w:szCs w:val="24"/>
        </w:rPr>
        <w:lastRenderedPageBreak/>
        <w:t>Teniendo en consideración cada una de las expresiones planteadas</w:t>
      </w:r>
      <w:r w:rsidR="00353D3B">
        <w:rPr>
          <w:rFonts w:ascii="Arial" w:hAnsi="Arial" w:cs="Arial"/>
          <w:i/>
          <w:sz w:val="24"/>
          <w:szCs w:val="24"/>
        </w:rPr>
        <w:t xml:space="preserve">, </w:t>
      </w:r>
      <w:r>
        <w:rPr>
          <w:rFonts w:ascii="Arial" w:hAnsi="Arial" w:cs="Arial"/>
          <w:i/>
          <w:sz w:val="24"/>
          <w:szCs w:val="24"/>
        </w:rPr>
        <w:t>es que</w:t>
      </w:r>
      <w:r w:rsidR="00F00F15" w:rsidRPr="0012241A">
        <w:rPr>
          <w:rFonts w:ascii="Arial" w:eastAsia="Times New Roman" w:hAnsi="Arial" w:cs="Arial"/>
          <w:i/>
          <w:sz w:val="24"/>
          <w:szCs w:val="24"/>
          <w:lang w:val="es-ES" w:eastAsia="es-MX"/>
        </w:rPr>
        <w:t xml:space="preserve"> con fundamento en los artículos 57 y 58 de la Constitución Política del Estado, me permito someter a la consideración de esta Asamble</w:t>
      </w:r>
      <w:r>
        <w:rPr>
          <w:rFonts w:ascii="Arial" w:eastAsia="Times New Roman" w:hAnsi="Arial" w:cs="Arial"/>
          <w:i/>
          <w:sz w:val="24"/>
          <w:szCs w:val="24"/>
          <w:lang w:val="es-ES" w:eastAsia="es-MX"/>
        </w:rPr>
        <w:t>a la iniciativa con carácter de:</w:t>
      </w:r>
    </w:p>
    <w:p w14:paraId="162FD1B3" w14:textId="77777777" w:rsidR="00F00F15" w:rsidRPr="0012241A" w:rsidRDefault="00F00F15" w:rsidP="00191D17">
      <w:pPr>
        <w:spacing w:after="0" w:line="360" w:lineRule="auto"/>
        <w:jc w:val="both"/>
        <w:rPr>
          <w:rFonts w:ascii="Arial" w:eastAsia="Times New Roman" w:hAnsi="Arial" w:cs="Arial"/>
          <w:i/>
          <w:sz w:val="24"/>
          <w:szCs w:val="24"/>
          <w:lang w:val="es-ES" w:eastAsia="es-MX"/>
        </w:rPr>
      </w:pPr>
    </w:p>
    <w:p w14:paraId="438C9093" w14:textId="77777777" w:rsidR="006F5B56" w:rsidRDefault="006F5B56" w:rsidP="006F5B56">
      <w:pPr>
        <w:shd w:val="clear" w:color="auto" w:fill="FFFFFF"/>
        <w:spacing w:after="0" w:line="360" w:lineRule="auto"/>
        <w:jc w:val="center"/>
        <w:rPr>
          <w:rFonts w:ascii="Arial" w:hAnsi="Arial" w:cs="Arial"/>
          <w:b/>
          <w:i/>
          <w:sz w:val="24"/>
          <w:szCs w:val="24"/>
        </w:rPr>
      </w:pPr>
      <w:r w:rsidRPr="004559E6">
        <w:rPr>
          <w:rFonts w:ascii="Arial" w:hAnsi="Arial" w:cs="Arial"/>
          <w:b/>
          <w:i/>
          <w:sz w:val="24"/>
          <w:szCs w:val="24"/>
        </w:rPr>
        <w:t>DECRETO:</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6558F7BC" w14:textId="7E12077B" w:rsidR="006F5B56" w:rsidRDefault="006F5B56" w:rsidP="006F5B56">
      <w:pPr>
        <w:shd w:val="clear" w:color="auto" w:fill="FFFFFF"/>
        <w:spacing w:after="0" w:line="360" w:lineRule="auto"/>
        <w:jc w:val="both"/>
        <w:rPr>
          <w:rFonts w:ascii="Arial" w:hAnsi="Arial" w:cs="Arial"/>
          <w:i/>
          <w:sz w:val="24"/>
          <w:szCs w:val="24"/>
        </w:rPr>
      </w:pPr>
      <w:r w:rsidRPr="004559E6">
        <w:rPr>
          <w:rFonts w:ascii="Arial" w:hAnsi="Arial" w:cs="Arial"/>
          <w:b/>
          <w:i/>
          <w:sz w:val="24"/>
          <w:szCs w:val="24"/>
        </w:rPr>
        <w:t xml:space="preserve"> ARTÍCULO ÚNICO</w:t>
      </w:r>
      <w:r>
        <w:rPr>
          <w:rFonts w:ascii="Arial" w:hAnsi="Arial" w:cs="Arial"/>
          <w:i/>
          <w:sz w:val="24"/>
          <w:szCs w:val="24"/>
        </w:rPr>
        <w:t xml:space="preserve">. </w:t>
      </w:r>
      <w:r w:rsidRPr="00353D3B">
        <w:rPr>
          <w:rFonts w:ascii="Arial" w:hAnsi="Arial" w:cs="Arial"/>
          <w:b/>
          <w:bCs/>
          <w:i/>
          <w:sz w:val="24"/>
          <w:szCs w:val="24"/>
        </w:rPr>
        <w:t xml:space="preserve">Se </w:t>
      </w:r>
      <w:r w:rsidR="00353D3B" w:rsidRPr="00353D3B">
        <w:rPr>
          <w:rFonts w:ascii="Arial" w:hAnsi="Arial" w:cs="Arial"/>
          <w:b/>
          <w:bCs/>
          <w:i/>
          <w:color w:val="000000" w:themeColor="text1"/>
          <w:sz w:val="24"/>
          <w:szCs w:val="24"/>
        </w:rPr>
        <w:t>r</w:t>
      </w:r>
      <w:r w:rsidRPr="00353D3B">
        <w:rPr>
          <w:rFonts w:ascii="Arial" w:hAnsi="Arial" w:cs="Arial"/>
          <w:b/>
          <w:bCs/>
          <w:i/>
          <w:color w:val="000000" w:themeColor="text1"/>
          <w:sz w:val="24"/>
          <w:szCs w:val="24"/>
        </w:rPr>
        <w:t xml:space="preserve">eforma </w:t>
      </w:r>
      <w:r w:rsidR="00353D3B" w:rsidRPr="00353D3B">
        <w:rPr>
          <w:rFonts w:ascii="Arial" w:hAnsi="Arial" w:cs="Arial"/>
          <w:b/>
          <w:bCs/>
          <w:i/>
          <w:color w:val="000000" w:themeColor="text1"/>
          <w:sz w:val="24"/>
          <w:szCs w:val="24"/>
        </w:rPr>
        <w:t>el artículo 150 de la Ley de Desarrollo Urbano Sostenible del Estado de Chihuahua</w:t>
      </w:r>
      <w:r w:rsidRPr="004559E6">
        <w:rPr>
          <w:rFonts w:ascii="Arial" w:hAnsi="Arial" w:cs="Arial"/>
          <w:i/>
          <w:sz w:val="24"/>
          <w:szCs w:val="24"/>
        </w:rPr>
        <w:t xml:space="preserve">, para quedar </w:t>
      </w:r>
      <w:r>
        <w:rPr>
          <w:rFonts w:ascii="Arial" w:hAnsi="Arial" w:cs="Arial"/>
          <w:i/>
          <w:sz w:val="24"/>
          <w:szCs w:val="24"/>
        </w:rPr>
        <w:t>redactado de la siguiente manera</w:t>
      </w:r>
      <w:r w:rsidRPr="004559E6">
        <w:rPr>
          <w:rFonts w:ascii="Arial" w:hAnsi="Arial" w:cs="Arial"/>
          <w:i/>
          <w:sz w:val="24"/>
          <w:szCs w:val="24"/>
        </w:rPr>
        <w:t>:</w:t>
      </w:r>
    </w:p>
    <w:p w14:paraId="1EEAC656" w14:textId="77777777" w:rsidR="00353D3B" w:rsidRPr="00353D3B" w:rsidRDefault="00353D3B" w:rsidP="00353D3B">
      <w:pPr>
        <w:spacing w:line="360" w:lineRule="auto"/>
        <w:jc w:val="both"/>
        <w:rPr>
          <w:rFonts w:ascii="Arial" w:hAnsi="Arial" w:cs="Arial"/>
          <w:bCs/>
          <w:i/>
          <w:iCs/>
          <w:sz w:val="24"/>
          <w:szCs w:val="24"/>
        </w:rPr>
      </w:pPr>
      <w:r w:rsidRPr="00353D3B">
        <w:rPr>
          <w:rFonts w:ascii="Arial" w:hAnsi="Arial" w:cs="Arial"/>
          <w:bCs/>
          <w:i/>
          <w:iCs/>
          <w:sz w:val="24"/>
          <w:szCs w:val="24"/>
        </w:rPr>
        <w:t xml:space="preserve">ARTÍCULO 150. Los Municipios podrán autorizar el cambio de uso de suelo y, en su caso, modificar los componentes del potencial urbano, en los siguientes casos: </w:t>
      </w:r>
    </w:p>
    <w:p w14:paraId="2FC7894A" w14:textId="77777777" w:rsidR="00353D3B" w:rsidRPr="00353D3B" w:rsidRDefault="00353D3B" w:rsidP="00353D3B">
      <w:pPr>
        <w:pStyle w:val="Prrafodelista"/>
        <w:numPr>
          <w:ilvl w:val="0"/>
          <w:numId w:val="15"/>
        </w:numPr>
        <w:spacing w:after="160" w:line="360" w:lineRule="auto"/>
        <w:jc w:val="both"/>
        <w:rPr>
          <w:rFonts w:ascii="Arial" w:hAnsi="Arial" w:cs="Arial"/>
          <w:bCs/>
          <w:i/>
          <w:iCs/>
          <w:sz w:val="24"/>
          <w:szCs w:val="24"/>
        </w:rPr>
      </w:pPr>
      <w:r w:rsidRPr="00353D3B">
        <w:rPr>
          <w:rFonts w:ascii="Arial" w:hAnsi="Arial" w:cs="Arial"/>
          <w:bCs/>
          <w:i/>
          <w:iCs/>
          <w:sz w:val="24"/>
          <w:szCs w:val="24"/>
        </w:rPr>
        <w:t>. . . . . .</w:t>
      </w:r>
    </w:p>
    <w:p w14:paraId="14EAB0A1" w14:textId="77777777" w:rsidR="00353D3B" w:rsidRPr="00353D3B" w:rsidRDefault="00353D3B" w:rsidP="00353D3B">
      <w:pPr>
        <w:pStyle w:val="Prrafodelista"/>
        <w:numPr>
          <w:ilvl w:val="0"/>
          <w:numId w:val="15"/>
        </w:numPr>
        <w:spacing w:after="160" w:line="360" w:lineRule="auto"/>
        <w:jc w:val="both"/>
        <w:rPr>
          <w:rFonts w:ascii="Arial" w:hAnsi="Arial" w:cs="Arial"/>
          <w:bCs/>
          <w:i/>
          <w:iCs/>
          <w:sz w:val="24"/>
          <w:szCs w:val="24"/>
        </w:rPr>
      </w:pPr>
      <w:r w:rsidRPr="00353D3B">
        <w:rPr>
          <w:rFonts w:ascii="Arial" w:hAnsi="Arial" w:cs="Arial"/>
          <w:bCs/>
          <w:i/>
          <w:iCs/>
          <w:sz w:val="24"/>
          <w:szCs w:val="24"/>
        </w:rPr>
        <w:t xml:space="preserve"> . . . . . .</w:t>
      </w:r>
    </w:p>
    <w:p w14:paraId="0A86D4AD" w14:textId="77777777" w:rsidR="00353D3B" w:rsidRPr="00353D3B" w:rsidRDefault="00353D3B" w:rsidP="00353D3B">
      <w:pPr>
        <w:pStyle w:val="Prrafodelista"/>
        <w:numPr>
          <w:ilvl w:val="0"/>
          <w:numId w:val="15"/>
        </w:numPr>
        <w:spacing w:after="160" w:line="360" w:lineRule="auto"/>
        <w:jc w:val="both"/>
        <w:rPr>
          <w:rFonts w:ascii="Arial" w:hAnsi="Arial" w:cs="Arial"/>
          <w:bCs/>
          <w:i/>
          <w:iCs/>
          <w:sz w:val="24"/>
          <w:szCs w:val="24"/>
        </w:rPr>
      </w:pPr>
      <w:r w:rsidRPr="00353D3B">
        <w:rPr>
          <w:rFonts w:ascii="Arial" w:hAnsi="Arial" w:cs="Arial"/>
          <w:bCs/>
          <w:i/>
          <w:iCs/>
          <w:sz w:val="24"/>
          <w:szCs w:val="24"/>
        </w:rPr>
        <w:t>. . . . .</w:t>
      </w:r>
    </w:p>
    <w:p w14:paraId="7199AF8F" w14:textId="145E1AE5" w:rsidR="00353D3B" w:rsidRPr="00353D3B" w:rsidRDefault="00353D3B" w:rsidP="00353D3B">
      <w:pPr>
        <w:pStyle w:val="Prrafodelista"/>
        <w:numPr>
          <w:ilvl w:val="0"/>
          <w:numId w:val="15"/>
        </w:numPr>
        <w:spacing w:after="160" w:line="360" w:lineRule="auto"/>
        <w:jc w:val="both"/>
        <w:rPr>
          <w:rFonts w:ascii="Arial" w:hAnsi="Arial" w:cs="Arial"/>
          <w:bCs/>
          <w:i/>
          <w:iCs/>
          <w:sz w:val="24"/>
          <w:szCs w:val="24"/>
        </w:rPr>
      </w:pPr>
      <w:r w:rsidRPr="00353D3B">
        <w:rPr>
          <w:rFonts w:ascii="Arial" w:hAnsi="Arial" w:cs="Arial"/>
          <w:bCs/>
          <w:i/>
          <w:iCs/>
          <w:sz w:val="24"/>
          <w:szCs w:val="24"/>
        </w:rPr>
        <w:t>Tratándose del otorgamiento de licencias de uso de suelo</w:t>
      </w:r>
      <w:r w:rsidRPr="00353D3B">
        <w:rPr>
          <w:rFonts w:ascii="Arial" w:hAnsi="Arial" w:cs="Arial"/>
          <w:b/>
          <w:i/>
          <w:iCs/>
          <w:sz w:val="24"/>
          <w:szCs w:val="24"/>
        </w:rPr>
        <w:t xml:space="preserve"> para estaciones de servicio dedicadas a la </w:t>
      </w:r>
      <w:r w:rsidRPr="00353D3B">
        <w:rPr>
          <w:rFonts w:ascii="Arial" w:hAnsi="Arial" w:cs="Arial"/>
          <w:b/>
          <w:i/>
          <w:iCs/>
          <w:sz w:val="24"/>
          <w:szCs w:val="24"/>
        </w:rPr>
        <w:t>venta de</w:t>
      </w:r>
      <w:r w:rsidRPr="00353D3B">
        <w:rPr>
          <w:rFonts w:ascii="Arial" w:hAnsi="Arial" w:cs="Arial"/>
          <w:b/>
          <w:i/>
          <w:iCs/>
          <w:sz w:val="24"/>
          <w:szCs w:val="24"/>
        </w:rPr>
        <w:t xml:space="preserve"> gasolina, diésel, o gas al </w:t>
      </w:r>
      <w:r w:rsidRPr="00353D3B">
        <w:rPr>
          <w:rFonts w:ascii="Arial" w:hAnsi="Arial" w:cs="Arial"/>
          <w:b/>
          <w:i/>
          <w:iCs/>
          <w:sz w:val="24"/>
          <w:szCs w:val="24"/>
        </w:rPr>
        <w:t>público</w:t>
      </w:r>
      <w:r w:rsidRPr="00353D3B">
        <w:rPr>
          <w:rFonts w:ascii="Arial" w:hAnsi="Arial" w:cs="Arial"/>
          <w:b/>
          <w:i/>
          <w:iCs/>
          <w:sz w:val="24"/>
          <w:szCs w:val="24"/>
        </w:rPr>
        <w:t xml:space="preserve"> en general, así como aceites, grasas y lubricantes, </w:t>
      </w:r>
      <w:r w:rsidRPr="00353D3B">
        <w:rPr>
          <w:rFonts w:ascii="Arial" w:hAnsi="Arial" w:cs="Arial"/>
          <w:bCs/>
          <w:i/>
          <w:iCs/>
          <w:sz w:val="24"/>
          <w:szCs w:val="24"/>
        </w:rPr>
        <w:t>en poblaciones que tengan 500 mil habitantes o más, además de cumplir con las normas establecidas en esta Ley y en los reglamentos municipales en la materia, en su caso, deberán reunir los siguientes requisitos:</w:t>
      </w:r>
    </w:p>
    <w:p w14:paraId="2FF1026D" w14:textId="08CF6215" w:rsidR="00353D3B" w:rsidRPr="00353D3B" w:rsidRDefault="00353D3B" w:rsidP="00353D3B">
      <w:pPr>
        <w:pStyle w:val="Prrafodelista"/>
        <w:spacing w:line="360" w:lineRule="auto"/>
        <w:ind w:left="1080"/>
        <w:jc w:val="both"/>
        <w:rPr>
          <w:rFonts w:ascii="Arial" w:hAnsi="Arial" w:cs="Arial"/>
          <w:bCs/>
          <w:i/>
          <w:iCs/>
          <w:sz w:val="24"/>
          <w:szCs w:val="24"/>
        </w:rPr>
      </w:pPr>
      <w:r w:rsidRPr="00353D3B">
        <w:rPr>
          <w:rFonts w:ascii="Arial" w:hAnsi="Arial" w:cs="Arial"/>
          <w:bCs/>
          <w:i/>
          <w:iCs/>
          <w:sz w:val="24"/>
          <w:szCs w:val="24"/>
        </w:rPr>
        <w:t>a) ……</w:t>
      </w:r>
    </w:p>
    <w:p w14:paraId="4BF6E4A4" w14:textId="58B70FFD" w:rsidR="00353D3B" w:rsidRPr="00353D3B" w:rsidRDefault="00353D3B" w:rsidP="00353D3B">
      <w:pPr>
        <w:pStyle w:val="Prrafodelista"/>
        <w:spacing w:line="360" w:lineRule="auto"/>
        <w:ind w:left="1080"/>
        <w:jc w:val="both"/>
        <w:rPr>
          <w:rFonts w:ascii="Arial" w:hAnsi="Arial" w:cs="Arial"/>
          <w:bCs/>
          <w:i/>
          <w:iCs/>
          <w:sz w:val="24"/>
          <w:szCs w:val="24"/>
        </w:rPr>
      </w:pPr>
      <w:r w:rsidRPr="00353D3B">
        <w:rPr>
          <w:rFonts w:ascii="Arial" w:hAnsi="Arial" w:cs="Arial"/>
          <w:bCs/>
          <w:i/>
          <w:iCs/>
          <w:sz w:val="24"/>
          <w:szCs w:val="24"/>
        </w:rPr>
        <w:t>b) ……</w:t>
      </w:r>
    </w:p>
    <w:p w14:paraId="59AE47A3" w14:textId="733254E5" w:rsidR="00353D3B" w:rsidRPr="00353D3B" w:rsidRDefault="00353D3B" w:rsidP="00353D3B">
      <w:pPr>
        <w:pStyle w:val="Prrafodelista"/>
        <w:spacing w:line="360" w:lineRule="auto"/>
        <w:ind w:left="1080"/>
        <w:jc w:val="both"/>
        <w:rPr>
          <w:rFonts w:ascii="Arial" w:hAnsi="Arial" w:cs="Arial"/>
          <w:bCs/>
          <w:i/>
          <w:iCs/>
          <w:sz w:val="24"/>
          <w:szCs w:val="24"/>
        </w:rPr>
      </w:pPr>
      <w:r w:rsidRPr="00353D3B">
        <w:rPr>
          <w:rFonts w:ascii="Arial" w:hAnsi="Arial" w:cs="Arial"/>
          <w:bCs/>
          <w:i/>
          <w:iCs/>
          <w:sz w:val="24"/>
          <w:szCs w:val="24"/>
        </w:rPr>
        <w:t>c)</w:t>
      </w:r>
      <w:r w:rsidRPr="00353D3B">
        <w:rPr>
          <w:rFonts w:ascii="Arial" w:hAnsi="Arial" w:cs="Arial"/>
          <w:bCs/>
          <w:i/>
          <w:iCs/>
          <w:sz w:val="24"/>
          <w:szCs w:val="24"/>
        </w:rPr>
        <w:t>……</w:t>
      </w:r>
      <w:r w:rsidRPr="00353D3B">
        <w:rPr>
          <w:rFonts w:ascii="Arial" w:hAnsi="Arial" w:cs="Arial"/>
          <w:bCs/>
          <w:i/>
          <w:iCs/>
          <w:sz w:val="24"/>
          <w:szCs w:val="24"/>
        </w:rPr>
        <w:t>.</w:t>
      </w:r>
    </w:p>
    <w:p w14:paraId="0DFF0CD0" w14:textId="44ACD9F6" w:rsidR="00353D3B" w:rsidRPr="00353D3B" w:rsidRDefault="00353D3B" w:rsidP="00353D3B">
      <w:pPr>
        <w:pStyle w:val="Prrafodelista"/>
        <w:spacing w:line="360" w:lineRule="auto"/>
        <w:ind w:left="1080"/>
        <w:jc w:val="both"/>
        <w:rPr>
          <w:rFonts w:ascii="Arial" w:hAnsi="Arial" w:cs="Arial"/>
          <w:bCs/>
          <w:i/>
          <w:iCs/>
          <w:sz w:val="24"/>
          <w:szCs w:val="24"/>
        </w:rPr>
      </w:pPr>
      <w:r w:rsidRPr="00353D3B">
        <w:rPr>
          <w:rFonts w:ascii="Arial" w:hAnsi="Arial" w:cs="Arial"/>
          <w:bCs/>
          <w:i/>
          <w:iCs/>
          <w:sz w:val="24"/>
          <w:szCs w:val="24"/>
        </w:rPr>
        <w:t>d)</w:t>
      </w:r>
      <w:r w:rsidRPr="00353D3B">
        <w:rPr>
          <w:rFonts w:ascii="Arial" w:hAnsi="Arial" w:cs="Arial"/>
          <w:bCs/>
          <w:i/>
          <w:iCs/>
          <w:sz w:val="24"/>
          <w:szCs w:val="24"/>
        </w:rPr>
        <w:t>……</w:t>
      </w:r>
      <w:r w:rsidRPr="00353D3B">
        <w:rPr>
          <w:rFonts w:ascii="Arial" w:hAnsi="Arial" w:cs="Arial"/>
          <w:bCs/>
          <w:i/>
          <w:iCs/>
          <w:sz w:val="24"/>
          <w:szCs w:val="24"/>
        </w:rPr>
        <w:t>.</w:t>
      </w:r>
    </w:p>
    <w:p w14:paraId="0C9B3DD0" w14:textId="346D349D" w:rsidR="00353D3B" w:rsidRPr="00353D3B" w:rsidRDefault="00353D3B" w:rsidP="00353D3B">
      <w:pPr>
        <w:pStyle w:val="Prrafodelista"/>
        <w:spacing w:line="360" w:lineRule="auto"/>
        <w:ind w:left="1080"/>
        <w:jc w:val="both"/>
        <w:rPr>
          <w:rFonts w:ascii="Arial" w:hAnsi="Arial" w:cs="Arial"/>
          <w:bCs/>
          <w:i/>
          <w:iCs/>
          <w:sz w:val="24"/>
          <w:szCs w:val="24"/>
        </w:rPr>
      </w:pPr>
      <w:r w:rsidRPr="00353D3B">
        <w:rPr>
          <w:rFonts w:ascii="Arial" w:hAnsi="Arial" w:cs="Arial"/>
          <w:bCs/>
          <w:i/>
          <w:iCs/>
          <w:sz w:val="24"/>
          <w:szCs w:val="24"/>
        </w:rPr>
        <w:t>e) …</w:t>
      </w:r>
      <w:r>
        <w:rPr>
          <w:rFonts w:ascii="Arial" w:hAnsi="Arial" w:cs="Arial"/>
          <w:bCs/>
          <w:i/>
          <w:iCs/>
          <w:sz w:val="24"/>
          <w:szCs w:val="24"/>
        </w:rPr>
        <w:t>…</w:t>
      </w:r>
    </w:p>
    <w:p w14:paraId="3A9F1B85" w14:textId="7A08FEDB" w:rsidR="00353D3B" w:rsidRPr="00353D3B" w:rsidRDefault="00353D3B" w:rsidP="00353D3B">
      <w:pPr>
        <w:pStyle w:val="Prrafodelista"/>
        <w:spacing w:line="360" w:lineRule="auto"/>
        <w:ind w:left="1080"/>
        <w:jc w:val="both"/>
        <w:rPr>
          <w:rFonts w:ascii="Arial" w:hAnsi="Arial" w:cs="Arial"/>
          <w:bCs/>
          <w:i/>
          <w:iCs/>
          <w:sz w:val="24"/>
          <w:szCs w:val="24"/>
        </w:rPr>
      </w:pPr>
      <w:r w:rsidRPr="00353D3B">
        <w:rPr>
          <w:rFonts w:ascii="Arial" w:hAnsi="Arial" w:cs="Arial"/>
          <w:bCs/>
          <w:i/>
          <w:iCs/>
          <w:sz w:val="24"/>
          <w:szCs w:val="24"/>
        </w:rPr>
        <w:lastRenderedPageBreak/>
        <w:t>f) …</w:t>
      </w:r>
      <w:r w:rsidRPr="00353D3B">
        <w:rPr>
          <w:rFonts w:ascii="Arial" w:hAnsi="Arial" w:cs="Arial"/>
          <w:bCs/>
          <w:i/>
          <w:iCs/>
          <w:sz w:val="24"/>
          <w:szCs w:val="24"/>
        </w:rPr>
        <w:t>…...</w:t>
      </w:r>
    </w:p>
    <w:p w14:paraId="04EF97AF" w14:textId="7D5FCAB7" w:rsidR="00353D3B" w:rsidRPr="00353D3B" w:rsidRDefault="00353D3B" w:rsidP="00353D3B">
      <w:pPr>
        <w:pStyle w:val="Prrafodelista"/>
        <w:spacing w:line="360" w:lineRule="auto"/>
        <w:ind w:left="1080"/>
        <w:jc w:val="both"/>
        <w:rPr>
          <w:rFonts w:ascii="Arial" w:hAnsi="Arial" w:cs="Arial"/>
          <w:bCs/>
          <w:i/>
          <w:iCs/>
          <w:sz w:val="24"/>
          <w:szCs w:val="24"/>
        </w:rPr>
      </w:pPr>
      <w:r w:rsidRPr="00353D3B">
        <w:rPr>
          <w:rFonts w:ascii="Arial" w:hAnsi="Arial" w:cs="Arial"/>
          <w:bCs/>
          <w:i/>
          <w:iCs/>
          <w:sz w:val="24"/>
          <w:szCs w:val="24"/>
        </w:rPr>
        <w:t>g) …</w:t>
      </w:r>
      <w:r w:rsidRPr="00353D3B">
        <w:rPr>
          <w:rFonts w:ascii="Arial" w:hAnsi="Arial" w:cs="Arial"/>
          <w:bCs/>
          <w:i/>
          <w:iCs/>
          <w:sz w:val="24"/>
          <w:szCs w:val="24"/>
        </w:rPr>
        <w:t>……</w:t>
      </w:r>
    </w:p>
    <w:p w14:paraId="5A45C165" w14:textId="504A1C5B" w:rsidR="00353D3B" w:rsidRDefault="00353D3B" w:rsidP="00353D3B">
      <w:pPr>
        <w:pStyle w:val="Prrafodelista"/>
        <w:spacing w:line="360" w:lineRule="auto"/>
        <w:ind w:left="1080"/>
        <w:jc w:val="both"/>
        <w:rPr>
          <w:rFonts w:ascii="Arial" w:hAnsi="Arial" w:cs="Arial"/>
          <w:b/>
          <w:i/>
          <w:iCs/>
          <w:sz w:val="24"/>
          <w:szCs w:val="24"/>
        </w:rPr>
      </w:pPr>
      <w:r w:rsidRPr="00353D3B">
        <w:rPr>
          <w:rFonts w:ascii="Arial" w:hAnsi="Arial" w:cs="Arial"/>
          <w:b/>
          <w:i/>
          <w:iCs/>
          <w:sz w:val="24"/>
          <w:szCs w:val="24"/>
        </w:rPr>
        <w:t>h</w:t>
      </w:r>
      <w:r w:rsidRPr="00353D3B">
        <w:rPr>
          <w:rFonts w:ascii="Arial" w:hAnsi="Arial" w:cs="Arial"/>
          <w:b/>
          <w:i/>
          <w:iCs/>
          <w:sz w:val="24"/>
          <w:szCs w:val="24"/>
        </w:rPr>
        <w:t>). -</w:t>
      </w:r>
      <w:r w:rsidRPr="00353D3B">
        <w:rPr>
          <w:rFonts w:ascii="Arial" w:hAnsi="Arial" w:cs="Arial"/>
          <w:b/>
          <w:i/>
          <w:iCs/>
          <w:sz w:val="24"/>
          <w:szCs w:val="24"/>
        </w:rPr>
        <w:t xml:space="preserve"> La anuencia del comité de vecinos del lugar, en donde se establezca la estación de servicio. </w:t>
      </w:r>
    </w:p>
    <w:p w14:paraId="334496B0" w14:textId="7A55C840" w:rsidR="00E5716D" w:rsidRPr="00353D3B" w:rsidRDefault="00353D3B" w:rsidP="00353D3B">
      <w:pPr>
        <w:pStyle w:val="Prrafodelista"/>
        <w:spacing w:line="360" w:lineRule="auto"/>
        <w:ind w:left="1080"/>
        <w:jc w:val="both"/>
        <w:rPr>
          <w:rFonts w:ascii="Arial" w:hAnsi="Arial" w:cs="Arial"/>
          <w:b/>
          <w:i/>
          <w:iCs/>
          <w:sz w:val="24"/>
          <w:szCs w:val="24"/>
        </w:rPr>
      </w:pPr>
      <w:r w:rsidRPr="00353D3B">
        <w:rPr>
          <w:rFonts w:ascii="Arial" w:hAnsi="Arial" w:cs="Arial"/>
          <w:b/>
          <w:i/>
          <w:iCs/>
          <w:sz w:val="24"/>
          <w:szCs w:val="24"/>
        </w:rPr>
        <w:t>i). -</w:t>
      </w:r>
      <w:r w:rsidRPr="00353D3B">
        <w:rPr>
          <w:rFonts w:ascii="Arial" w:hAnsi="Arial" w:cs="Arial"/>
          <w:b/>
          <w:i/>
          <w:iCs/>
          <w:sz w:val="24"/>
          <w:szCs w:val="24"/>
        </w:rPr>
        <w:t xml:space="preserve"> La ratificación por parte del Ayuntamiento del Municipio que corresponda, del dictamen que emita la autoridad municipal que haya conocido de la solicitud y está la haya declarado procedente.</w:t>
      </w:r>
    </w:p>
    <w:p w14:paraId="07239074" w14:textId="77777777" w:rsidR="00353D3B" w:rsidRDefault="00353D3B" w:rsidP="006F5B56">
      <w:pPr>
        <w:spacing w:after="0" w:line="360" w:lineRule="auto"/>
        <w:jc w:val="center"/>
        <w:rPr>
          <w:rFonts w:ascii="Arial" w:hAnsi="Arial" w:cs="Arial"/>
          <w:b/>
          <w:i/>
          <w:sz w:val="24"/>
          <w:szCs w:val="24"/>
        </w:rPr>
      </w:pPr>
    </w:p>
    <w:p w14:paraId="6955B0A8" w14:textId="462EA959" w:rsidR="006F5B56" w:rsidRDefault="006F5B56" w:rsidP="006F5B56">
      <w:pPr>
        <w:spacing w:after="0" w:line="360" w:lineRule="auto"/>
        <w:jc w:val="center"/>
        <w:rPr>
          <w:rFonts w:ascii="Arial" w:hAnsi="Arial" w:cs="Arial"/>
          <w:b/>
          <w:i/>
          <w:sz w:val="24"/>
          <w:szCs w:val="24"/>
        </w:rPr>
      </w:pPr>
      <w:r w:rsidRPr="004559E6">
        <w:rPr>
          <w:rFonts w:ascii="Arial" w:hAnsi="Arial" w:cs="Arial"/>
          <w:b/>
          <w:i/>
          <w:sz w:val="24"/>
          <w:szCs w:val="24"/>
        </w:rPr>
        <w:t>TRANSITORIOS</w:t>
      </w:r>
      <w:r>
        <w:rPr>
          <w:rFonts w:ascii="Arial" w:hAnsi="Arial" w:cs="Arial"/>
          <w:b/>
          <w:i/>
          <w:sz w:val="24"/>
          <w:szCs w:val="24"/>
        </w:rPr>
        <w:t>:</w:t>
      </w:r>
    </w:p>
    <w:p w14:paraId="17670B41" w14:textId="77777777" w:rsidR="006F5B56" w:rsidRPr="004559E6" w:rsidRDefault="006F5B56" w:rsidP="006F5B56">
      <w:pPr>
        <w:spacing w:after="0" w:line="360" w:lineRule="auto"/>
        <w:jc w:val="center"/>
        <w:rPr>
          <w:rFonts w:ascii="Arial" w:hAnsi="Arial" w:cs="Arial"/>
          <w:b/>
          <w:i/>
          <w:sz w:val="24"/>
          <w:szCs w:val="24"/>
        </w:rPr>
      </w:pPr>
    </w:p>
    <w:p w14:paraId="67277781" w14:textId="77777777" w:rsidR="006F5B56" w:rsidRDefault="006F5B56" w:rsidP="006F5B56">
      <w:pPr>
        <w:spacing w:after="0" w:line="360" w:lineRule="auto"/>
        <w:jc w:val="both"/>
        <w:rPr>
          <w:rFonts w:ascii="Arial" w:hAnsi="Arial" w:cs="Arial"/>
          <w:i/>
          <w:sz w:val="24"/>
          <w:szCs w:val="24"/>
        </w:rPr>
      </w:pPr>
      <w:r w:rsidRPr="004559E6">
        <w:rPr>
          <w:rFonts w:ascii="Arial" w:hAnsi="Arial" w:cs="Arial"/>
          <w:b/>
          <w:i/>
          <w:sz w:val="24"/>
          <w:szCs w:val="24"/>
        </w:rPr>
        <w:t>ARTÍCULO PRIMERO.</w:t>
      </w:r>
      <w:r>
        <w:rPr>
          <w:rFonts w:ascii="Arial" w:hAnsi="Arial" w:cs="Arial"/>
          <w:b/>
          <w:i/>
          <w:sz w:val="24"/>
          <w:szCs w:val="24"/>
        </w:rPr>
        <w:t xml:space="preserve"> -</w:t>
      </w:r>
      <w:r w:rsidRPr="004559E6">
        <w:rPr>
          <w:rFonts w:ascii="Arial" w:hAnsi="Arial" w:cs="Arial"/>
          <w:b/>
          <w:i/>
          <w:sz w:val="24"/>
          <w:szCs w:val="24"/>
        </w:rPr>
        <w:t xml:space="preserve"> </w:t>
      </w:r>
      <w:r w:rsidRPr="004559E6">
        <w:rPr>
          <w:rFonts w:ascii="Arial" w:hAnsi="Arial" w:cs="Arial"/>
          <w:i/>
          <w:sz w:val="24"/>
          <w:szCs w:val="24"/>
        </w:rPr>
        <w:t xml:space="preserve">El presente Decreto entrará en vigor al día siguiente de su publicación en </w:t>
      </w:r>
      <w:r>
        <w:rPr>
          <w:rFonts w:ascii="Arial" w:hAnsi="Arial" w:cs="Arial"/>
          <w:i/>
          <w:sz w:val="24"/>
          <w:szCs w:val="24"/>
        </w:rPr>
        <w:t>el Periódico</w:t>
      </w:r>
      <w:r w:rsidRPr="004559E6">
        <w:rPr>
          <w:rFonts w:ascii="Arial" w:hAnsi="Arial" w:cs="Arial"/>
          <w:i/>
          <w:sz w:val="24"/>
          <w:szCs w:val="24"/>
        </w:rPr>
        <w:t xml:space="preserve"> Oficial</w:t>
      </w:r>
      <w:r>
        <w:rPr>
          <w:rFonts w:ascii="Arial" w:hAnsi="Arial" w:cs="Arial"/>
          <w:i/>
          <w:sz w:val="24"/>
          <w:szCs w:val="24"/>
        </w:rPr>
        <w:t xml:space="preserve"> del Estado.</w:t>
      </w:r>
    </w:p>
    <w:p w14:paraId="66FC681F" w14:textId="77777777" w:rsidR="006F5B56" w:rsidRPr="004559E6" w:rsidRDefault="006F5B56" w:rsidP="006F5B56">
      <w:pPr>
        <w:spacing w:after="0" w:line="360" w:lineRule="auto"/>
        <w:jc w:val="both"/>
        <w:rPr>
          <w:rFonts w:ascii="Arial" w:hAnsi="Arial" w:cs="Arial"/>
          <w:i/>
          <w:color w:val="000000" w:themeColor="text1"/>
          <w:sz w:val="24"/>
          <w:szCs w:val="24"/>
        </w:rPr>
      </w:pPr>
    </w:p>
    <w:p w14:paraId="7C335C01" w14:textId="77777777" w:rsidR="006F5B56" w:rsidRPr="004559E6" w:rsidRDefault="006F5B56" w:rsidP="006F5B56">
      <w:pPr>
        <w:spacing w:after="0" w:line="360" w:lineRule="auto"/>
        <w:jc w:val="both"/>
        <w:rPr>
          <w:rFonts w:ascii="Arial" w:hAnsi="Arial" w:cs="Arial"/>
          <w:i/>
          <w:sz w:val="24"/>
          <w:szCs w:val="24"/>
        </w:rPr>
      </w:pPr>
      <w:r w:rsidRPr="004559E6">
        <w:rPr>
          <w:rFonts w:ascii="Arial" w:hAnsi="Arial" w:cs="Arial"/>
          <w:b/>
          <w:i/>
          <w:color w:val="000000" w:themeColor="text1"/>
          <w:sz w:val="24"/>
          <w:szCs w:val="24"/>
        </w:rPr>
        <w:t xml:space="preserve">ECONÓMICO. - </w:t>
      </w:r>
      <w:r w:rsidRPr="004559E6">
        <w:rPr>
          <w:rFonts w:ascii="Arial" w:hAnsi="Arial" w:cs="Arial"/>
          <w:i/>
          <w:color w:val="000000" w:themeColor="text1"/>
          <w:sz w:val="24"/>
          <w:szCs w:val="24"/>
        </w:rPr>
        <w:t xml:space="preserve">Una vez aprobado que sea, túrnese a la Secretaría para que se elabore la minuta </w:t>
      </w:r>
      <w:r w:rsidRPr="004559E6">
        <w:rPr>
          <w:rFonts w:ascii="Arial" w:hAnsi="Arial" w:cs="Arial"/>
          <w:i/>
          <w:sz w:val="24"/>
          <w:szCs w:val="24"/>
        </w:rPr>
        <w:t xml:space="preserve">de Decreto en los términos en que deba publicarse. </w:t>
      </w:r>
    </w:p>
    <w:p w14:paraId="595D7E09" w14:textId="77777777" w:rsidR="00981CA4" w:rsidRPr="0012241A" w:rsidRDefault="00981CA4" w:rsidP="00191D17">
      <w:pPr>
        <w:spacing w:after="0" w:line="360" w:lineRule="auto"/>
        <w:jc w:val="both"/>
        <w:rPr>
          <w:rFonts w:ascii="Arial" w:hAnsi="Arial" w:cs="Arial"/>
          <w:i/>
          <w:sz w:val="24"/>
          <w:szCs w:val="24"/>
        </w:rPr>
      </w:pPr>
    </w:p>
    <w:p w14:paraId="72B8F9DB" w14:textId="650B7885" w:rsidR="00981CA4" w:rsidRPr="0012241A" w:rsidRDefault="00981CA4" w:rsidP="00191D17">
      <w:pPr>
        <w:spacing w:after="0" w:line="360" w:lineRule="auto"/>
        <w:jc w:val="both"/>
        <w:rPr>
          <w:rFonts w:ascii="Arial" w:hAnsi="Arial" w:cs="Arial"/>
          <w:i/>
          <w:sz w:val="24"/>
          <w:szCs w:val="24"/>
        </w:rPr>
      </w:pPr>
      <w:r w:rsidRPr="0012241A">
        <w:rPr>
          <w:rFonts w:ascii="Arial" w:hAnsi="Arial" w:cs="Arial"/>
          <w:i/>
          <w:sz w:val="24"/>
          <w:szCs w:val="24"/>
        </w:rPr>
        <w:t xml:space="preserve">Dado en el Palacio Legislativo del Estado de Chihuahua, a los </w:t>
      </w:r>
      <w:r w:rsidR="000153CC">
        <w:rPr>
          <w:rFonts w:ascii="Arial" w:hAnsi="Arial" w:cs="Arial"/>
          <w:i/>
          <w:sz w:val="24"/>
          <w:szCs w:val="24"/>
        </w:rPr>
        <w:t>30</w:t>
      </w:r>
      <w:r w:rsidRPr="0012241A">
        <w:rPr>
          <w:rFonts w:ascii="Arial" w:hAnsi="Arial" w:cs="Arial"/>
          <w:i/>
          <w:sz w:val="24"/>
          <w:szCs w:val="24"/>
        </w:rPr>
        <w:t xml:space="preserve"> días del mes de </w:t>
      </w:r>
      <w:r w:rsidR="002E5FB2">
        <w:rPr>
          <w:rFonts w:ascii="Arial" w:hAnsi="Arial" w:cs="Arial"/>
          <w:i/>
          <w:sz w:val="24"/>
          <w:szCs w:val="24"/>
        </w:rPr>
        <w:t>septiembre</w:t>
      </w:r>
      <w:r w:rsidRPr="0012241A">
        <w:rPr>
          <w:rFonts w:ascii="Arial" w:hAnsi="Arial" w:cs="Arial"/>
          <w:i/>
          <w:sz w:val="24"/>
          <w:szCs w:val="24"/>
        </w:rPr>
        <w:t xml:space="preserve"> del año dos mil veintiuno.</w:t>
      </w: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A65E" w14:textId="77777777" w:rsidR="007643DC" w:rsidRDefault="007643DC" w:rsidP="007F665E">
      <w:pPr>
        <w:spacing w:after="0" w:line="240" w:lineRule="auto"/>
      </w:pPr>
      <w:r>
        <w:separator/>
      </w:r>
    </w:p>
  </w:endnote>
  <w:endnote w:type="continuationSeparator" w:id="0">
    <w:p w14:paraId="7D29ED40" w14:textId="77777777" w:rsidR="007643DC" w:rsidRDefault="007643D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F195" w14:textId="77777777" w:rsidR="007643DC" w:rsidRDefault="007643DC" w:rsidP="007F665E">
      <w:pPr>
        <w:spacing w:after="0" w:line="240" w:lineRule="auto"/>
      </w:pPr>
      <w:r>
        <w:separator/>
      </w:r>
    </w:p>
  </w:footnote>
  <w:footnote w:type="continuationSeparator" w:id="0">
    <w:p w14:paraId="0B8172B3" w14:textId="77777777" w:rsidR="007643DC" w:rsidRDefault="007643DC"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64C7"/>
    <w:rsid w:val="000A7D50"/>
    <w:rsid w:val="000E2797"/>
    <w:rsid w:val="000F2883"/>
    <w:rsid w:val="0012241A"/>
    <w:rsid w:val="0016407E"/>
    <w:rsid w:val="00174FB4"/>
    <w:rsid w:val="00191D17"/>
    <w:rsid w:val="00197F7B"/>
    <w:rsid w:val="001B13B5"/>
    <w:rsid w:val="00210BFE"/>
    <w:rsid w:val="002122F9"/>
    <w:rsid w:val="00256185"/>
    <w:rsid w:val="00291896"/>
    <w:rsid w:val="002D27CC"/>
    <w:rsid w:val="002E034A"/>
    <w:rsid w:val="002E5FB2"/>
    <w:rsid w:val="00326670"/>
    <w:rsid w:val="0033542A"/>
    <w:rsid w:val="00335A12"/>
    <w:rsid w:val="00335AD2"/>
    <w:rsid w:val="00353D3B"/>
    <w:rsid w:val="003905A5"/>
    <w:rsid w:val="003B34C6"/>
    <w:rsid w:val="003E45EB"/>
    <w:rsid w:val="003F3D7F"/>
    <w:rsid w:val="00402DDF"/>
    <w:rsid w:val="00444C92"/>
    <w:rsid w:val="00447956"/>
    <w:rsid w:val="00454592"/>
    <w:rsid w:val="004D5B3F"/>
    <w:rsid w:val="004E0BA0"/>
    <w:rsid w:val="005067A1"/>
    <w:rsid w:val="005174CB"/>
    <w:rsid w:val="00552D38"/>
    <w:rsid w:val="00553531"/>
    <w:rsid w:val="00561A86"/>
    <w:rsid w:val="00594148"/>
    <w:rsid w:val="00596577"/>
    <w:rsid w:val="005A524E"/>
    <w:rsid w:val="005B7576"/>
    <w:rsid w:val="005D64AE"/>
    <w:rsid w:val="00640C57"/>
    <w:rsid w:val="0067356E"/>
    <w:rsid w:val="00695D68"/>
    <w:rsid w:val="00697334"/>
    <w:rsid w:val="006A339C"/>
    <w:rsid w:val="006D6C2B"/>
    <w:rsid w:val="006D7337"/>
    <w:rsid w:val="006F1931"/>
    <w:rsid w:val="006F5B56"/>
    <w:rsid w:val="007029C4"/>
    <w:rsid w:val="0070484A"/>
    <w:rsid w:val="00727BA3"/>
    <w:rsid w:val="00732DE6"/>
    <w:rsid w:val="00740750"/>
    <w:rsid w:val="007643DC"/>
    <w:rsid w:val="00787891"/>
    <w:rsid w:val="007B20E6"/>
    <w:rsid w:val="007B3F64"/>
    <w:rsid w:val="007D29C7"/>
    <w:rsid w:val="007D2B07"/>
    <w:rsid w:val="007F665E"/>
    <w:rsid w:val="00844B10"/>
    <w:rsid w:val="008471D3"/>
    <w:rsid w:val="0085312C"/>
    <w:rsid w:val="008818DB"/>
    <w:rsid w:val="0088479D"/>
    <w:rsid w:val="008914CF"/>
    <w:rsid w:val="008F5B89"/>
    <w:rsid w:val="008F6A06"/>
    <w:rsid w:val="009404FA"/>
    <w:rsid w:val="00960591"/>
    <w:rsid w:val="009663E6"/>
    <w:rsid w:val="0096723A"/>
    <w:rsid w:val="009715A5"/>
    <w:rsid w:val="00981CA4"/>
    <w:rsid w:val="009B0159"/>
    <w:rsid w:val="009C08A0"/>
    <w:rsid w:val="009C4BDD"/>
    <w:rsid w:val="009E176A"/>
    <w:rsid w:val="00A03049"/>
    <w:rsid w:val="00AE3AD9"/>
    <w:rsid w:val="00AF3AF7"/>
    <w:rsid w:val="00B01E60"/>
    <w:rsid w:val="00B62696"/>
    <w:rsid w:val="00B66610"/>
    <w:rsid w:val="00B82308"/>
    <w:rsid w:val="00B83D20"/>
    <w:rsid w:val="00BC494E"/>
    <w:rsid w:val="00C17A1B"/>
    <w:rsid w:val="00C269FE"/>
    <w:rsid w:val="00C44CF4"/>
    <w:rsid w:val="00C53D86"/>
    <w:rsid w:val="00C76843"/>
    <w:rsid w:val="00C8037D"/>
    <w:rsid w:val="00D66927"/>
    <w:rsid w:val="00D73ED7"/>
    <w:rsid w:val="00DB3F45"/>
    <w:rsid w:val="00DC302B"/>
    <w:rsid w:val="00DC32A8"/>
    <w:rsid w:val="00DC55D1"/>
    <w:rsid w:val="00DE224D"/>
    <w:rsid w:val="00DE2A52"/>
    <w:rsid w:val="00E32288"/>
    <w:rsid w:val="00E40A83"/>
    <w:rsid w:val="00E5716D"/>
    <w:rsid w:val="00EA21CD"/>
    <w:rsid w:val="00EC19C9"/>
    <w:rsid w:val="00EC3BC0"/>
    <w:rsid w:val="00F00F15"/>
    <w:rsid w:val="00F15AD3"/>
    <w:rsid w:val="00F72C11"/>
    <w:rsid w:val="00FA07B6"/>
    <w:rsid w:val="00FC4021"/>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1365</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4</cp:revision>
  <dcterms:created xsi:type="dcterms:W3CDTF">2021-09-29T19:44:00Z</dcterms:created>
  <dcterms:modified xsi:type="dcterms:W3CDTF">2021-09-29T20:18:00Z</dcterms:modified>
</cp:coreProperties>
</file>