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9A" w:rsidRDefault="00273E9A">
      <w:pPr>
        <w:pStyle w:val="CuerpoA"/>
      </w:pPr>
      <w:bookmarkStart w:id="0" w:name="_GoBack"/>
      <w:bookmarkEnd w:id="0"/>
    </w:p>
    <w:p w:rsidR="00273E9A" w:rsidRDefault="00273E9A">
      <w:pPr>
        <w:pStyle w:val="CuerpoA"/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 xml:space="preserve">H. CONGRESO DEL ESTADO  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lang w:val="it-IT"/>
        </w:rPr>
      </w:pPr>
      <w:r>
        <w:rPr>
          <w:rStyle w:val="Ninguno"/>
          <w:rFonts w:ascii="Century Gothic" w:hAnsi="Century Gothic"/>
          <w:b/>
          <w:bCs/>
          <w:lang w:val="it-IT"/>
        </w:rPr>
        <w:t>P R E S E N T E.-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 xml:space="preserve">Quien suscribe, </w:t>
      </w:r>
      <w:r>
        <w:rPr>
          <w:rStyle w:val="Ninguno"/>
          <w:rFonts w:ascii="Century Gothic" w:hAnsi="Century Gothic"/>
          <w:b/>
          <w:bCs/>
          <w:lang w:val="it-IT"/>
        </w:rPr>
        <w:t>Isela Mart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nez D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 xml:space="preserve">az, </w:t>
      </w:r>
      <w:r>
        <w:rPr>
          <w:rStyle w:val="Ninguno"/>
          <w:rFonts w:ascii="Century Gothic" w:hAnsi="Century Gothic"/>
        </w:rPr>
        <w:t>Diputada en la Sexag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sima S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ptima Legislatura e integrante del Grupo Parlamentario del Partido Acci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Nacional y en su representaci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con fundamento en el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culo 167, </w:t>
      </w:r>
      <w:r>
        <w:rPr>
          <w:rStyle w:val="Ninguno"/>
          <w:rFonts w:ascii="Century Gothic" w:hAnsi="Century Gothic"/>
        </w:rPr>
        <w:t>fracci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I de la Ley Org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nica del Poder Legislativo del Estado y los correlativos 75, 76 y 77 del Reglamento Interior y de Pr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cticas Parlamentarias, someto a consideraci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de esta Honorable Asamblea, la presente </w:t>
      </w:r>
      <w:r>
        <w:rPr>
          <w:rStyle w:val="Ninguno"/>
          <w:rFonts w:ascii="Century Gothic" w:hAnsi="Century Gothic"/>
          <w:b/>
          <w:bCs/>
          <w:i/>
          <w:iCs/>
        </w:rPr>
        <w:t>I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  <w:lang w:val="pt-PT"/>
        </w:rPr>
        <w:t xml:space="preserve">NICIATIVA 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</w:rPr>
        <w:t xml:space="preserve">DE 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  <w:lang w:val="da-DK"/>
        </w:rPr>
        <w:t>DECRETO</w:t>
      </w:r>
      <w:r>
        <w:rPr>
          <w:rStyle w:val="Ninguno"/>
          <w:rFonts w:ascii="Century Gothic" w:hAnsi="Century Gothic"/>
          <w:b/>
          <w:bCs/>
          <w:i/>
          <w:iCs/>
        </w:rPr>
        <w:t xml:space="preserve"> 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</w:rPr>
        <w:t xml:space="preserve">POR EL QUE SE REFORMA 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</w:rPr>
        <w:t>Y ADICIONAN VARIAS DISPOSICIONES A LA LEY DE TURISMO DEL ESTADO, EN MATERIA PUEBLOS TRADICIONALES</w:t>
      </w:r>
      <w:r>
        <w:rPr>
          <w:rStyle w:val="Ninguno"/>
          <w:rFonts w:ascii="Century Gothic" w:hAnsi="Century Gothic"/>
          <w:b/>
          <w:bCs/>
        </w:rPr>
        <w:t xml:space="preserve">, </w:t>
      </w:r>
      <w:r>
        <w:rPr>
          <w:rStyle w:val="Ninguno"/>
          <w:rFonts w:ascii="Century Gothic" w:hAnsi="Century Gothic"/>
        </w:rPr>
        <w:t xml:space="preserve">lo que realizo al  tenor de la siguiente: 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pt-PT"/>
        </w:rPr>
        <w:t>EXPOSICI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DE MOTIVOS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En la econom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de nuestro pa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s, el turismo representa casi el 4% del Producto Interno Brut</w:t>
      </w:r>
      <w:r>
        <w:rPr>
          <w:rStyle w:val="Ninguno"/>
          <w:rFonts w:ascii="Century Gothic" w:hAnsi="Century Gothic"/>
        </w:rPr>
        <w:t>o (PIB) lo que significa un monto cercano a los 1,500 millones de pesos y</w:t>
      </w:r>
      <w:r>
        <w:rPr>
          <w:rStyle w:val="Ninguno"/>
          <w:rFonts w:ascii="Century Gothic" w:hAnsi="Century Gothic"/>
        </w:rPr>
        <w:t> </w:t>
      </w:r>
      <w:hyperlink r:id="rId6" w:history="1">
        <w:r>
          <w:rPr>
            <w:rStyle w:val="Hyperlink0"/>
          </w:rPr>
          <w:t>genera m</w:t>
        </w:r>
        <w:r>
          <w:rPr>
            <w:rStyle w:val="Hyperlink0"/>
          </w:rPr>
          <w:t>á</w:t>
        </w:r>
        <w:r>
          <w:rPr>
            <w:rStyle w:val="Hyperlink0"/>
          </w:rPr>
          <w:t>s de 4 millones de empleos</w:t>
        </w:r>
      </w:hyperlink>
      <w:r>
        <w:rPr>
          <w:rStyle w:val="Ninguno"/>
          <w:rFonts w:ascii="Century Gothic" w:hAnsi="Century Gothic"/>
          <w:lang w:val="pt-PT"/>
        </w:rPr>
        <w:t>,</w:t>
      </w:r>
      <w:r>
        <w:rPr>
          <w:rStyle w:val="Ninguno"/>
          <w:rFonts w:ascii="Century Gothic" w:hAnsi="Century Gothic"/>
          <w:lang w:val="pt-PT"/>
        </w:rPr>
        <w:t xml:space="preserve"> seg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n las cifras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s actuales de la Secretar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pt-PT"/>
        </w:rPr>
        <w:t>a de Turismo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2"/>
      </w:r>
      <w:r>
        <w:rPr>
          <w:rStyle w:val="Ninguno"/>
          <w:rFonts w:ascii="Century Gothic" w:hAnsi="Century Gothic"/>
        </w:rPr>
        <w:t>. Adem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s, la Organizaci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Mundial del Turismo (OMT) estima que para el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 2030 se alcanzar</w:t>
      </w:r>
      <w:r>
        <w:rPr>
          <w:rStyle w:val="Ninguno"/>
          <w:rFonts w:ascii="Century Gothic" w:hAnsi="Century Gothic"/>
        </w:rPr>
        <w:t xml:space="preserve">á </w:t>
      </w:r>
      <w:r>
        <w:rPr>
          <w:rStyle w:val="Ninguno"/>
          <w:rFonts w:ascii="Century Gothic" w:hAnsi="Century Gothic"/>
        </w:rPr>
        <w:t xml:space="preserve">la cifra de mil 800 millones de turistas en el mundo.   </w:t>
      </w: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lastRenderedPageBreak/>
        <w:t xml:space="preserve">El turismo en nuestro Estado es uno de los </w:t>
      </w:r>
      <w:r>
        <w:rPr>
          <w:rStyle w:val="Ninguno"/>
          <w:rFonts w:ascii="Century Gothic" w:hAnsi="Century Gothic"/>
        </w:rPr>
        <w:t>sectores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  <w:lang w:val="pt-PT"/>
        </w:rPr>
        <w:t>micos que ha tomado relevancia por su creciente dinamismo</w:t>
      </w:r>
      <w:r>
        <w:rPr>
          <w:rStyle w:val="Ninguno"/>
          <w:rFonts w:ascii="Century Gothic" w:hAnsi="Century Gothic"/>
        </w:rPr>
        <w:t>, tanto por sus niveles de inversi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  <w:r>
        <w:rPr>
          <w:rStyle w:val="Ninguno"/>
          <w:rFonts w:ascii="Century Gothic" w:hAnsi="Century Gothic"/>
          <w:lang w:val="en-US"/>
        </w:rPr>
        <w:t xml:space="preserve"> y expansi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como por las oportunidades que genera en los aspectos de derrama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mica y de bienestar social, lo que ha provocado que se convierta </w:t>
      </w:r>
      <w:r>
        <w:rPr>
          <w:rStyle w:val="Ninguno"/>
          <w:rFonts w:ascii="Century Gothic" w:hAnsi="Century Gothic"/>
        </w:rPr>
        <w:t>en una actividad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mica  atractiva y en desarrollo en nuestra entidad. 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de-DE"/>
        </w:rPr>
        <w:t>Cabe se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alar, que la derrama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mica por turismo en la entidad  proviene principalmente del turismo de negocios, medico  y migratorio que se da en Chihuahua capital y en Ciudad J</w:t>
      </w:r>
      <w:r>
        <w:rPr>
          <w:rStyle w:val="Ninguno"/>
          <w:rFonts w:ascii="Century Gothic" w:hAnsi="Century Gothic"/>
        </w:rPr>
        <w:t>u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rez, sin embrago contamos con grandes riquezas naturales y culturales. Nuestras tradiciones, gastronom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y actividades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micas ofrecen una amplia oferta de experiencias, que representan la gran posibilidad de incrementar el n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mero de visitantes de rec</w:t>
      </w:r>
      <w:r>
        <w:rPr>
          <w:rStyle w:val="Ninguno"/>
          <w:rFonts w:ascii="Century Gothic" w:hAnsi="Century Gothic"/>
        </w:rPr>
        <w:t>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y esparcimiento, El turismo permite la 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fuentes de trabajo y apoya a la conservaci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las riquezas naturales, culturales e hist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  <w:lang w:val="pt-PT"/>
        </w:rPr>
        <w:t xml:space="preserve">ricas de </w:t>
      </w:r>
      <w:r>
        <w:rPr>
          <w:rStyle w:val="Ninguno"/>
          <w:rFonts w:ascii="Century Gothic" w:hAnsi="Century Gothic"/>
        </w:rPr>
        <w:t>nuestras</w:t>
      </w:r>
      <w:r>
        <w:rPr>
          <w:rStyle w:val="Ninguno"/>
          <w:rFonts w:ascii="Century Gothic" w:hAnsi="Century Gothic"/>
          <w:lang w:val="pt-PT"/>
        </w:rPr>
        <w:t xml:space="preserve"> localidades</w:t>
      </w:r>
      <w:r>
        <w:rPr>
          <w:rStyle w:val="Ninguno"/>
          <w:rFonts w:ascii="Century Gothic" w:hAnsi="Century Gothic"/>
        </w:rPr>
        <w:t>, con ello el crear mayor oferta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stica atractiva para el visitante naciona</w:t>
      </w:r>
      <w:r>
        <w:rPr>
          <w:rStyle w:val="Ninguno"/>
          <w:rFonts w:ascii="Century Gothic" w:hAnsi="Century Gothic"/>
        </w:rPr>
        <w:t>l y extranjero resulta fundamental, necesitamos que quien venga a hacer negocios a nuestra entidad permanezca por mas tiempo o regrese con sus familias para un viaje de placer..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Es importante mencionar, que en el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 2020 fue declarado el 5 de octubre com</w:t>
      </w:r>
      <w:r>
        <w:rPr>
          <w:rStyle w:val="Ninguno"/>
          <w:rFonts w:ascii="Century Gothic" w:hAnsi="Century Gothic"/>
        </w:rPr>
        <w:t xml:space="preserve">o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D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Nacional de los Pueblos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pt-PT"/>
        </w:rPr>
        <w:t>gicos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>, reconociendo la singularidad y la identidad de estos destinos, siendo ese mismo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 la primera vez que se conmemor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. 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lastRenderedPageBreak/>
        <w:t>El programa que da origen a la declaratoria de Pueblos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gicos, fue creado en 2001 como una estr</w:t>
      </w:r>
      <w:r>
        <w:rPr>
          <w:rStyle w:val="Ninguno"/>
          <w:rFonts w:ascii="Century Gothic" w:hAnsi="Century Gothic"/>
        </w:rPr>
        <w:t>ategia para el desarrollo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it-IT"/>
        </w:rPr>
        <w:t>stico del pa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s, orientado a diversificar la oferta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stica en las diferentes regiones del pa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s, basada fundamentalmente en los atributos hist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ricos y culturales de las localidades. A la fecha existen 132 pueblos que ostentan</w:t>
      </w:r>
      <w:r>
        <w:rPr>
          <w:rStyle w:val="Ninguno"/>
          <w:rFonts w:ascii="Century Gothic" w:hAnsi="Century Gothic"/>
        </w:rPr>
        <w:t xml:space="preserve"> esta denominaci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3"/>
      </w:r>
      <w:r>
        <w:rPr>
          <w:rStyle w:val="Ninguno"/>
          <w:rFonts w:ascii="Century Gothic" w:hAnsi="Century Gothic"/>
        </w:rPr>
        <w:t xml:space="preserve"> de los cuales, tres se encuentran en nuestro Estado los cuales son Creel, Batopilas y Casas Grandes.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A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pt-PT"/>
        </w:rPr>
        <w:t>s de 20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os de la 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  <w:lang w:val="de-DE"/>
        </w:rPr>
        <w:t>n de</w:t>
      </w:r>
      <w:r>
        <w:rPr>
          <w:rStyle w:val="Ninguno"/>
          <w:rFonts w:ascii="Century Gothic" w:hAnsi="Century Gothic"/>
        </w:rPr>
        <w:t>l programa de Pueblos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gicos,  que en su momento provoc</w:t>
      </w:r>
      <w:r>
        <w:rPr>
          <w:rStyle w:val="Ninguno"/>
          <w:rFonts w:ascii="Century Gothic" w:hAnsi="Century Gothic"/>
        </w:rPr>
        <w:t xml:space="preserve">ó </w:t>
      </w:r>
      <w:r>
        <w:rPr>
          <w:rStyle w:val="Ninguno"/>
          <w:rFonts w:ascii="Century Gothic" w:hAnsi="Century Gothic"/>
        </w:rPr>
        <w:t>que los destinos que ostentaban dicha decl</w:t>
      </w:r>
      <w:r>
        <w:rPr>
          <w:rStyle w:val="Ninguno"/>
          <w:rFonts w:ascii="Century Gothic" w:hAnsi="Century Gothic"/>
        </w:rPr>
        <w:t>aratoria se posicionaran como referencia para los turistas nacionales e internacionales, c</w:t>
      </w:r>
      <w:r>
        <w:rPr>
          <w:rStyle w:val="Ninguno"/>
          <w:rFonts w:ascii="Century Gothic" w:hAnsi="Century Gothic"/>
          <w:lang w:val="it-IT"/>
        </w:rPr>
        <w:t>ontin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a siendo una declaratoria que invita a visitarlos por su gran riqueza arquitect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nica, cultural y de experiencias. 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No obstante, el Gobierno Federal desde el 20</w:t>
      </w:r>
      <w:r>
        <w:rPr>
          <w:rStyle w:val="Ninguno"/>
          <w:rFonts w:ascii="Century Gothic" w:hAnsi="Century Gothic"/>
        </w:rPr>
        <w:t>19 ha dejado de etiquetar recurso al programa que apoyaba a las localidades que cuentan con dicha declaratoria, a pesar de la derrama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mica que genera, cumpli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ndose ya cuatro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os consecutivos sin destinar recursos para ello.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Hoy en d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el turismo afr</w:t>
      </w:r>
      <w:r>
        <w:rPr>
          <w:rStyle w:val="Ninguno"/>
          <w:rFonts w:ascii="Century Gothic" w:hAnsi="Century Gothic"/>
        </w:rPr>
        <w:t>onta nuevos retos ante una econom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desacelerada y en b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 xml:space="preserve">squeda de nuevas oportunidades que revitalicen el sector, y ante el panorama nacional y las </w:t>
      </w:r>
      <w:r>
        <w:rPr>
          <w:rStyle w:val="Ninguno"/>
          <w:rFonts w:ascii="Century Gothic" w:hAnsi="Century Gothic"/>
          <w:lang w:val="pt-PT"/>
        </w:rPr>
        <w:t xml:space="preserve">estrategias </w:t>
      </w:r>
      <w:r>
        <w:rPr>
          <w:rStyle w:val="Ninguno"/>
          <w:rFonts w:ascii="Century Gothic" w:hAnsi="Century Gothic"/>
        </w:rPr>
        <w:t xml:space="preserve">tan </w:t>
      </w:r>
      <w:r>
        <w:rPr>
          <w:rStyle w:val="Ninguno"/>
          <w:rFonts w:ascii="Century Gothic" w:hAnsi="Century Gothic"/>
          <w:lang w:val="pt-PT"/>
        </w:rPr>
        <w:t xml:space="preserve">limitadas </w:t>
      </w:r>
      <w:r>
        <w:rPr>
          <w:rStyle w:val="Ninguno"/>
          <w:rFonts w:ascii="Century Gothic" w:hAnsi="Century Gothic"/>
        </w:rPr>
        <w:t xml:space="preserve">que ofrece el Gobierno Federal, consideramos importante el buscar los modelos </w:t>
      </w:r>
      <w:r>
        <w:rPr>
          <w:rStyle w:val="Ninguno"/>
          <w:rFonts w:ascii="Century Gothic" w:hAnsi="Century Gothic"/>
        </w:rPr>
        <w:lastRenderedPageBreak/>
        <w:t xml:space="preserve">que </w:t>
      </w:r>
      <w:r>
        <w:rPr>
          <w:rStyle w:val="Ninguno"/>
          <w:rFonts w:ascii="Century Gothic" w:hAnsi="Century Gothic"/>
        </w:rPr>
        <w:t>se han considerado exitosos en otros tiempos y siguen siendo agentes de cambio, por ello proponemos adoptar una figura similar a la de los "Pueblos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pt-PT"/>
        </w:rPr>
        <w:t>gicos</w:t>
      </w:r>
      <w:r>
        <w:rPr>
          <w:rStyle w:val="Ninguno"/>
          <w:rFonts w:ascii="Century Gothic" w:hAnsi="Century Gothic"/>
        </w:rPr>
        <w:t xml:space="preserve">” </w:t>
      </w:r>
      <w:r>
        <w:rPr>
          <w:rStyle w:val="Ninguno"/>
          <w:rFonts w:ascii="Century Gothic" w:hAnsi="Century Gothic"/>
        </w:rPr>
        <w:t xml:space="preserve">pero desde una 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ptica y apoyo estatal, como una alternativa para la promoci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nuestras distintas</w:t>
      </w:r>
      <w:r>
        <w:rPr>
          <w:rStyle w:val="Ninguno"/>
          <w:rFonts w:ascii="Century Gothic" w:hAnsi="Century Gothic"/>
        </w:rPr>
        <w:t xml:space="preserve"> regiones con vocaci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stica. </w:t>
      </w: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 xml:space="preserve"> Esta propuesta acompa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a a la de otras entidades federativas que ya han implementado modelos similares, para declarar a municipios o localidades, que cuentan con vocaci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o potencial para el desarrollo de la actividad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stica como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Pueblos Tradicionales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  <w:lang w:val="en-US"/>
        </w:rPr>
        <w:t>, 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</w:rPr>
        <w:t>como es el caso del Estado de M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 xml:space="preserve">xico que los denominan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Pueblos de Encanto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>, en la Ciudad de M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 xml:space="preserve">xico,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Barrios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pt-PT"/>
        </w:rPr>
        <w:t>gicos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pt-PT"/>
        </w:rPr>
        <w:t>sticos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  <w:lang w:val="nl-NL"/>
        </w:rPr>
        <w:t xml:space="preserve">, en Jalisco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Parajes de la Identidad Jalisciense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 xml:space="preserve">, Sinaloa,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Pueblos Se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oriales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  <w:lang w:val="pt-PT"/>
        </w:rPr>
        <w:t xml:space="preserve">, </w:t>
      </w:r>
      <w:r>
        <w:rPr>
          <w:rStyle w:val="Ninguno"/>
          <w:rFonts w:ascii="Century Gothic" w:hAnsi="Century Gothic"/>
          <w:lang w:val="pt-PT"/>
        </w:rPr>
        <w:t>Quer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 xml:space="preserve">taro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Pueblos con Tradici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>, Estados de los cuales se recogieron algunas disposiciones jur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dicas que incluimos en la presente propuesta legislativa, por lo que, estamos plenamente convencidos que debemos adoptar las experiencias exitosas para impulsa</w:t>
      </w:r>
      <w:r>
        <w:rPr>
          <w:rStyle w:val="Ninguno"/>
          <w:rFonts w:ascii="Century Gothic" w:hAnsi="Century Gothic"/>
        </w:rPr>
        <w:t>r el desarrollo del turismo de naturaleza, esparcimiento y recreaci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n. 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En relaci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con este tema, el Gobierno Estatal ha tenido a bien incorporar dentro del Plan Estatal de Desarrollo 2022-2027 (PED), la 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del programa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Pueblos Tradicionales</w:t>
      </w:r>
      <w:r>
        <w:rPr>
          <w:rStyle w:val="Ninguno"/>
          <w:rFonts w:ascii="Century Gothic" w:hAnsi="Century Gothic"/>
        </w:rPr>
        <w:t xml:space="preserve">” </w:t>
      </w:r>
      <w:r>
        <w:rPr>
          <w:rStyle w:val="Ninguno"/>
          <w:rFonts w:ascii="Century Gothic" w:hAnsi="Century Gothic"/>
        </w:rPr>
        <w:t xml:space="preserve">en el Eje Dos denominado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Crecimiento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mico innovador y competitividad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  <w:lang w:val="en-US"/>
        </w:rPr>
        <w:t>, 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</w:rPr>
        <w:t xml:space="preserve">como en las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Obras y Proyectos prioritarios de esta administraci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 xml:space="preserve">. 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Ante el potencial que representa el sector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stico y la eficaz herramienta en la que se puede converti</w:t>
      </w:r>
      <w:r>
        <w:rPr>
          <w:rStyle w:val="Ninguno"/>
          <w:rFonts w:ascii="Century Gothic" w:hAnsi="Century Gothic"/>
        </w:rPr>
        <w:t>r para disminuir la brecha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mica en diversas zonas apartadas del Estado, resulta importante que contemos con una legislaci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stica actualizada que siente las bases para un turismo innovador, con una oferta adecuada y que genere oportunidades en las</w:t>
      </w:r>
      <w:r>
        <w:rPr>
          <w:rStyle w:val="Ninguno"/>
          <w:rFonts w:ascii="Century Gothic" w:hAnsi="Century Gothic"/>
        </w:rPr>
        <w:t xml:space="preserve"> personas 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s necesitadas.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Por lo que, vemos la oportunidad de reformar nuestra legislaci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en la materia, buscando incluir la 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un programa permanente de desarrollo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stico integral para las localidades del Estado, orientado a impulsar una </w:t>
      </w:r>
      <w:r>
        <w:rPr>
          <w:rStyle w:val="Ninguno"/>
          <w:rFonts w:ascii="Century Gothic" w:hAnsi="Century Gothic"/>
        </w:rPr>
        <w:t>amplia oferta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stica de los lugares que cuenten con la declaratoria respectiva, creando y diversificando la oferta tur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stica local, elevando la calidad y competitividad del sector. 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En esta propuesta se visualiza la obligaci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que recaer</w:t>
      </w:r>
      <w:r>
        <w:rPr>
          <w:rStyle w:val="Ninguno"/>
          <w:rFonts w:ascii="Century Gothic" w:hAnsi="Century Gothic"/>
        </w:rPr>
        <w:t xml:space="preserve">á </w:t>
      </w:r>
      <w:r>
        <w:rPr>
          <w:rStyle w:val="Ninguno"/>
          <w:rFonts w:ascii="Century Gothic" w:hAnsi="Century Gothic"/>
        </w:rPr>
        <w:t>en el ejecuti</w:t>
      </w:r>
      <w:r>
        <w:rPr>
          <w:rStyle w:val="Ninguno"/>
          <w:rFonts w:ascii="Century Gothic" w:hAnsi="Century Gothic"/>
        </w:rPr>
        <w:t>vo, a trav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s de la Secretar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de Turismo para la 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reglas de operaci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claras, que busquen estandarizar los requisitos para obtener y mantener la declaratoria de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Pueblos Tradicionales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>, en las cuales los municipios o localidades que deseen parti</w:t>
      </w:r>
      <w:r>
        <w:rPr>
          <w:rStyle w:val="Ninguno"/>
          <w:rFonts w:ascii="Century Gothic" w:hAnsi="Century Gothic"/>
        </w:rPr>
        <w:t>cipar para ser acreedores al programa de apoyo estatal, conozcan el funcionamiento y mecanismos, atendiendo a las disposiciones de la Ley.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 xml:space="preserve">Asimismo, se busca </w:t>
      </w:r>
      <w:r>
        <w:rPr>
          <w:rStyle w:val="Ninguno"/>
          <w:rFonts w:ascii="Century Gothic" w:hAnsi="Century Gothic"/>
        </w:rPr>
        <w:t>crear un Comit</w:t>
      </w:r>
      <w:r>
        <w:rPr>
          <w:rStyle w:val="Ninguno"/>
          <w:rFonts w:ascii="Century Gothic" w:hAnsi="Century Gothic"/>
        </w:rPr>
        <w:t xml:space="preserve">é </w:t>
      </w:r>
      <w:r>
        <w:rPr>
          <w:rStyle w:val="Ninguno"/>
          <w:rFonts w:ascii="Century Gothic" w:hAnsi="Century Gothic"/>
        </w:rPr>
        <w:t>de Pueblos Tradicionales, el cual se conformar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por las Secretar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as de Turismo, </w:t>
      </w:r>
      <w:r>
        <w:rPr>
          <w:rStyle w:val="Ninguno"/>
          <w:rFonts w:ascii="Century Gothic" w:hAnsi="Century Gothic"/>
        </w:rPr>
        <w:t>Cultura, Obras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blicas e Innovaci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y Desarrollo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mico; siendo la primera de ellas quien presidir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el comit</w:t>
      </w:r>
      <w:r>
        <w:rPr>
          <w:rStyle w:val="Ninguno"/>
          <w:rFonts w:ascii="Century Gothic" w:hAnsi="Century Gothic"/>
        </w:rPr>
        <w:t xml:space="preserve">é </w:t>
      </w:r>
      <w:r>
        <w:rPr>
          <w:rStyle w:val="Ninguno"/>
          <w:rFonts w:ascii="Century Gothic" w:hAnsi="Century Gothic"/>
        </w:rPr>
        <w:t xml:space="preserve">mediante su titular o persona designada para este efecto, con esto se pretende que las decisiones de incorporar o no a un municipio o </w:t>
      </w:r>
      <w:r>
        <w:rPr>
          <w:rStyle w:val="Ninguno"/>
          <w:rFonts w:ascii="Century Gothic" w:hAnsi="Century Gothic"/>
        </w:rPr>
        <w:t>localidad se tomen mediante un estudio transversal de las capacidades y caracter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sticas de cada uno de las propuestas aunado a un an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lisis referente a la posible derrama econ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mica.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  <w:u w:val="single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Como resultado, se busca que este programa represente una verdadera altern</w:t>
      </w:r>
      <w:r>
        <w:rPr>
          <w:rStyle w:val="Ninguno"/>
          <w:rFonts w:ascii="Century Gothic" w:hAnsi="Century Gothic"/>
        </w:rPr>
        <w:t xml:space="preserve">ativa para el progreso del turismo en el Estado,  y permita el impulso del sector en las diferentes regiones del Estado.  </w:t>
      </w:r>
    </w:p>
    <w:p w:rsidR="00273E9A" w:rsidRDefault="00273E9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En virtud de todo lo previamente mencionado es que pongo a consideraci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esta soberan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a, la siguiente iniciativa con car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pt-PT"/>
        </w:rPr>
        <w:t>cter dec</w:t>
      </w:r>
      <w:r>
        <w:rPr>
          <w:rStyle w:val="Ninguno"/>
          <w:rFonts w:ascii="Century Gothic" w:hAnsi="Century Gothic"/>
          <w:lang w:val="pt-PT"/>
        </w:rPr>
        <w:t xml:space="preserve">reto: 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lang w:val="da-DK"/>
        </w:rPr>
      </w:pPr>
      <w:r>
        <w:rPr>
          <w:rStyle w:val="Ninguno"/>
          <w:rFonts w:ascii="Century Gothic" w:hAnsi="Century Gothic"/>
          <w:b/>
          <w:bCs/>
          <w:lang w:val="da-DK"/>
        </w:rPr>
        <w:t>DECRETO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 xml:space="preserve">CULO </w:t>
      </w:r>
      <w:r>
        <w:rPr>
          <w:rStyle w:val="Ninguno"/>
          <w:rFonts w:ascii="Century Gothic" w:hAnsi="Century Gothic"/>
          <w:b/>
          <w:bCs/>
        </w:rPr>
        <w:t>Ú</w:t>
      </w:r>
      <w:r>
        <w:rPr>
          <w:rStyle w:val="Ninguno"/>
          <w:rFonts w:ascii="Century Gothic" w:hAnsi="Century Gothic"/>
          <w:b/>
          <w:bCs/>
        </w:rPr>
        <w:t xml:space="preserve">NICO. - </w:t>
      </w:r>
      <w:r>
        <w:rPr>
          <w:rStyle w:val="Ninguno"/>
          <w:rFonts w:ascii="Century Gothic" w:hAnsi="Century Gothic"/>
        </w:rPr>
        <w:t>Se adicionan las fracciones X Bis del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culo 3 y XIX, XX, XXI y XXII del Articulo 4 </w:t>
      </w:r>
      <w:r>
        <w:rPr>
          <w:rStyle w:val="Ninguno"/>
          <w:rFonts w:ascii="Century Gothic" w:hAnsi="Century Gothic"/>
          <w:lang w:val="pt-PT"/>
        </w:rPr>
        <w:t>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</w:rPr>
        <w:t>como el Cap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pt-PT"/>
        </w:rPr>
        <w:t>tulo VII Ter</w:t>
      </w:r>
      <w:r>
        <w:rPr>
          <w:rStyle w:val="Ninguno"/>
          <w:rFonts w:ascii="Century Gothic" w:hAnsi="Century Gothic"/>
          <w:b/>
          <w:bCs/>
        </w:rPr>
        <w:t>,</w:t>
      </w:r>
      <w:r>
        <w:rPr>
          <w:rStyle w:val="Ninguno"/>
          <w:rFonts w:ascii="Century Gothic" w:hAnsi="Century Gothic"/>
          <w:lang w:val="pt-PT"/>
        </w:rPr>
        <w:t xml:space="preserve"> denominado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Del Programa de Pueblos Tradicionales</w:t>
      </w:r>
      <w:r>
        <w:rPr>
          <w:rStyle w:val="Ninguno"/>
          <w:rFonts w:ascii="Century Gothic" w:hAnsi="Century Gothic"/>
        </w:rPr>
        <w:t xml:space="preserve">” </w:t>
      </w:r>
      <w:r>
        <w:rPr>
          <w:rStyle w:val="Ninguno"/>
          <w:rFonts w:ascii="Century Gothic" w:hAnsi="Century Gothic"/>
        </w:rPr>
        <w:t>que contiene los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culos 36 Qu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 xml:space="preserve">ter, 36 Quinquies y </w:t>
      </w:r>
      <w:r>
        <w:rPr>
          <w:rStyle w:val="Ninguno"/>
          <w:rFonts w:ascii="Century Gothic" w:hAnsi="Century Gothic"/>
        </w:rPr>
        <w:t>36 Sexies y se reforma la fracci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XVIII del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pt-PT"/>
        </w:rPr>
        <w:t>culo 4</w:t>
      </w:r>
      <w:r>
        <w:rPr>
          <w:rStyle w:val="Ninguno"/>
          <w:rFonts w:ascii="Century Gothic" w:hAnsi="Century Gothic"/>
        </w:rPr>
        <w:t>, todos de la Ley de Turismo del Estado de Chihuahua, para quedar como sigue: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pt-PT"/>
        </w:rPr>
        <w:t xml:space="preserve">culo 3. </w:t>
      </w:r>
      <w:r>
        <w:rPr>
          <w:rStyle w:val="Ninguno"/>
          <w:rFonts w:ascii="Century Gothic" w:hAnsi="Century Gothic"/>
        </w:rPr>
        <w:t>Para los efectos de esta Ley, se entender</w:t>
      </w:r>
      <w:r>
        <w:rPr>
          <w:rStyle w:val="Ninguno"/>
          <w:rFonts w:ascii="Century Gothic" w:hAnsi="Century Gothic"/>
        </w:rPr>
        <w:t xml:space="preserve">á </w:t>
      </w:r>
      <w:r>
        <w:rPr>
          <w:rStyle w:val="Ninguno"/>
          <w:rFonts w:ascii="Century Gothic" w:hAnsi="Century Gothic"/>
        </w:rPr>
        <w:t>por</w:t>
      </w:r>
      <w:r>
        <w:rPr>
          <w:rStyle w:val="Ninguno"/>
          <w:rFonts w:ascii="Century Gothic" w:hAnsi="Century Gothic"/>
          <w:b/>
          <w:bCs/>
        </w:rPr>
        <w:t>: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n-US"/>
        </w:rPr>
        <w:t>I a X</w:t>
      </w:r>
      <w:r>
        <w:rPr>
          <w:rStyle w:val="Ninguno"/>
          <w:rFonts w:ascii="Century Gothic" w:hAnsi="Century Gothic"/>
          <w:b/>
          <w:bCs/>
        </w:rPr>
        <w:t>…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</w:rPr>
        <w:t>X BIS. Pueblos Tradicionales: Programa interinstituci</w:t>
      </w:r>
      <w:r>
        <w:rPr>
          <w:rStyle w:val="Ninguno"/>
          <w:rFonts w:ascii="Century Gothic" w:hAnsi="Century Gothic"/>
          <w:b/>
          <w:bCs/>
        </w:rPr>
        <w:t>onal de fomento y desarrollo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stico integral para Municipios o localidades del Estado de Chihuahua, el cual busca impulsar la oferta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stica del Estado, fortalecer los destinos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sticos, el desarrollo de infraestructura urbana, el rescate y mantenim</w:t>
      </w:r>
      <w:r>
        <w:rPr>
          <w:rStyle w:val="Ninguno"/>
          <w:rFonts w:ascii="Century Gothic" w:hAnsi="Century Gothic"/>
          <w:b/>
          <w:bCs/>
        </w:rPr>
        <w:t>iento de atractivos culturales y el desarrollo econ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mico de los municipios que cuenten con la declaratoria expedida por la persona Titular del Poder Ejecutivo del Estado.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n-US"/>
        </w:rPr>
        <w:t>XI a XXII</w:t>
      </w:r>
      <w:r>
        <w:rPr>
          <w:rStyle w:val="Ninguno"/>
          <w:rFonts w:ascii="Century Gothic" w:hAnsi="Century Gothic"/>
          <w:b/>
          <w:bCs/>
        </w:rPr>
        <w:t>…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pt-PT"/>
        </w:rPr>
        <w:t xml:space="preserve">culo 4. </w:t>
      </w:r>
      <w:r>
        <w:rPr>
          <w:rStyle w:val="Ninguno"/>
          <w:rFonts w:ascii="Century Gothic" w:hAnsi="Century Gothic"/>
        </w:rPr>
        <w:t>Son atribuciones de la Secretar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a: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n-US"/>
        </w:rPr>
        <w:t>I a XVII</w:t>
      </w:r>
      <w:r>
        <w:rPr>
          <w:rStyle w:val="Ninguno"/>
          <w:rFonts w:ascii="Century Gothic" w:hAnsi="Century Gothic"/>
          <w:b/>
          <w:bCs/>
        </w:rPr>
        <w:t>…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 xml:space="preserve">XVIII. </w:t>
      </w:r>
      <w:r>
        <w:rPr>
          <w:rStyle w:val="Ninguno"/>
          <w:rFonts w:ascii="Century Gothic" w:hAnsi="Century Gothic"/>
          <w:b/>
          <w:bCs/>
        </w:rPr>
        <w:t>Implementar pol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pt-PT"/>
        </w:rPr>
        <w:t>ticas p</w:t>
      </w:r>
      <w:r>
        <w:rPr>
          <w:rStyle w:val="Ninguno"/>
          <w:rFonts w:ascii="Century Gothic" w:hAnsi="Century Gothic"/>
          <w:b/>
          <w:bCs/>
        </w:rPr>
        <w:t>ú</w:t>
      </w:r>
      <w:r>
        <w:rPr>
          <w:rStyle w:val="Ninguno"/>
          <w:rFonts w:ascii="Century Gothic" w:hAnsi="Century Gothic"/>
          <w:b/>
          <w:bCs/>
        </w:rPr>
        <w:t>blicas que fomenten el desarrollo de la actividad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pt-PT"/>
        </w:rPr>
        <w:t xml:space="preserve">stica a </w:t>
      </w:r>
      <w:r>
        <w:rPr>
          <w:rStyle w:val="Ninguno"/>
          <w:rFonts w:ascii="Century Gothic" w:hAnsi="Century Gothic"/>
          <w:b/>
          <w:bCs/>
        </w:rPr>
        <w:t>trav</w:t>
      </w:r>
      <w:r>
        <w:rPr>
          <w:rStyle w:val="Ninguno"/>
          <w:rFonts w:ascii="Century Gothic" w:hAnsi="Century Gothic"/>
          <w:b/>
          <w:bCs/>
        </w:rPr>
        <w:t>é</w:t>
      </w:r>
      <w:r>
        <w:rPr>
          <w:rStyle w:val="Ninguno"/>
          <w:rFonts w:ascii="Century Gothic" w:hAnsi="Century Gothic"/>
          <w:b/>
          <w:bCs/>
        </w:rPr>
        <w:t>s de los Pueblos Tradicionales del Estado.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XIX. Promover acciones para la incorporaci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y permanencia de las localidades para que puedan obtener o mantener la declar</w:t>
      </w:r>
      <w:r>
        <w:rPr>
          <w:rStyle w:val="Ninguno"/>
          <w:rFonts w:ascii="Century Gothic" w:hAnsi="Century Gothic"/>
          <w:b/>
          <w:bCs/>
        </w:rPr>
        <w:t>atoria de Pueblos Tradicionales.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XX. Brindar capacitaci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n, asesor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 y apoyo t</w:t>
      </w:r>
      <w:r>
        <w:rPr>
          <w:rStyle w:val="Ninguno"/>
          <w:rFonts w:ascii="Century Gothic" w:hAnsi="Century Gothic"/>
          <w:b/>
          <w:bCs/>
        </w:rPr>
        <w:t>é</w:t>
      </w:r>
      <w:r>
        <w:rPr>
          <w:rStyle w:val="Ninguno"/>
          <w:rFonts w:ascii="Century Gothic" w:hAnsi="Century Gothic"/>
          <w:b/>
          <w:bCs/>
        </w:rPr>
        <w:t>cnico a los Pueblos Tradicionales para que conserven dicha declaratoria</w:t>
      </w:r>
      <w:r>
        <w:rPr>
          <w:rStyle w:val="Ninguno"/>
          <w:rFonts w:ascii="Century Gothic" w:hAnsi="Century Gothic"/>
          <w:b/>
          <w:bCs/>
          <w:lang w:val="en-US"/>
        </w:rPr>
        <w:t>, as</w:t>
      </w:r>
      <w:r>
        <w:rPr>
          <w:rStyle w:val="Ninguno"/>
          <w:rFonts w:ascii="Century Gothic" w:hAnsi="Century Gothic"/>
          <w:b/>
          <w:bCs/>
        </w:rPr>
        <w:t xml:space="preserve">í </w:t>
      </w:r>
      <w:r>
        <w:rPr>
          <w:rStyle w:val="Ninguno"/>
          <w:rFonts w:ascii="Century Gothic" w:hAnsi="Century Gothic"/>
          <w:b/>
          <w:bCs/>
        </w:rPr>
        <w:t>como a los Municipios o localidades que aspiren a obtenerla.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XXI. Vigilar el cumplimiento de las acci</w:t>
      </w:r>
      <w:r>
        <w:rPr>
          <w:rStyle w:val="Ninguno"/>
          <w:rFonts w:ascii="Century Gothic" w:hAnsi="Century Gothic"/>
          <w:b/>
          <w:bCs/>
        </w:rPr>
        <w:t>ones que garanticen la permanencia y el fortalecimiento de los denominados Pueblos Tradicionales.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XXII. Ejercer las dem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>s facultades y obligaciones que le asignen otros ordenamientos jur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 xml:space="preserve">dicos aplicables y las que le sean atribuidas por la persona Titular </w:t>
      </w:r>
      <w:r>
        <w:rPr>
          <w:rStyle w:val="Ninguno"/>
          <w:rFonts w:ascii="Century Gothic" w:hAnsi="Century Gothic"/>
          <w:b/>
          <w:bCs/>
        </w:rPr>
        <w:t>del Poder Ejecutivo del Estado, en materia de Turismo.</w:t>
      </w:r>
    </w:p>
    <w:p w:rsidR="00273E9A" w:rsidRDefault="00273E9A">
      <w:pPr>
        <w:pStyle w:val="CuerpoA"/>
        <w:spacing w:after="16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it-IT"/>
        </w:rPr>
        <w:t>Cap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pt-PT"/>
        </w:rPr>
        <w:t>tulo VII Ter</w:t>
      </w:r>
    </w:p>
    <w:p w:rsidR="00273E9A" w:rsidRDefault="008B736C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 xml:space="preserve">DEL PROGRAMA </w:t>
      </w:r>
      <w:r>
        <w:rPr>
          <w:rStyle w:val="Ninguno"/>
          <w:rFonts w:ascii="Century Gothic" w:hAnsi="Century Gothic"/>
          <w:b/>
          <w:bCs/>
        </w:rPr>
        <w:t>“</w:t>
      </w:r>
      <w:r>
        <w:rPr>
          <w:rStyle w:val="Ninguno"/>
          <w:rFonts w:ascii="Century Gothic" w:hAnsi="Century Gothic"/>
          <w:b/>
          <w:bCs/>
        </w:rPr>
        <w:t>PUEBLOS TRADICIONALES</w:t>
      </w:r>
      <w:r>
        <w:rPr>
          <w:rStyle w:val="Ninguno"/>
          <w:rFonts w:ascii="Century Gothic" w:hAnsi="Century Gothic"/>
          <w:b/>
          <w:bCs/>
        </w:rPr>
        <w:t>”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 36 Qu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 xml:space="preserve">ter. Mediante declaratoria del Poder Ejecutivo, se nombraran como </w:t>
      </w:r>
      <w:r>
        <w:rPr>
          <w:rStyle w:val="Ninguno"/>
          <w:rFonts w:ascii="Century Gothic" w:hAnsi="Century Gothic"/>
          <w:b/>
          <w:bCs/>
        </w:rPr>
        <w:t>“</w:t>
      </w:r>
      <w:r>
        <w:rPr>
          <w:rStyle w:val="Ninguno"/>
          <w:rFonts w:ascii="Century Gothic" w:hAnsi="Century Gothic"/>
          <w:b/>
          <w:bCs/>
        </w:rPr>
        <w:t>Pueblos Tradicionales</w:t>
      </w:r>
      <w:r>
        <w:rPr>
          <w:rStyle w:val="Ninguno"/>
          <w:rFonts w:ascii="Century Gothic" w:hAnsi="Century Gothic"/>
          <w:b/>
          <w:bCs/>
        </w:rPr>
        <w:t xml:space="preserve">” </w:t>
      </w:r>
      <w:r>
        <w:rPr>
          <w:rStyle w:val="Ninguno"/>
          <w:rFonts w:ascii="Century Gothic" w:hAnsi="Century Gothic"/>
          <w:b/>
          <w:bCs/>
        </w:rPr>
        <w:t xml:space="preserve">a aquellos Municipios o localidades del </w:t>
      </w:r>
      <w:r>
        <w:rPr>
          <w:rStyle w:val="Ninguno"/>
          <w:rFonts w:ascii="Century Gothic" w:hAnsi="Century Gothic"/>
          <w:b/>
          <w:bCs/>
        </w:rPr>
        <w:t>Estado que cuentan con un atractivo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stico que las hace singular respecto de otros lugares, que han conservado y valorado su herencia natural, hist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rica o cultural y que cumplen con los lineamientos de incorporaci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y permanencia establecidos por la Sec</w:t>
      </w:r>
      <w:r>
        <w:rPr>
          <w:rStyle w:val="Ninguno"/>
          <w:rFonts w:ascii="Century Gothic" w:hAnsi="Century Gothic"/>
          <w:b/>
          <w:bCs/>
        </w:rPr>
        <w:t>retar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 de Turismo en coordinaci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con las Secretarias de Comunicaciones y Obras P</w:t>
      </w:r>
      <w:r>
        <w:rPr>
          <w:rStyle w:val="Ninguno"/>
          <w:rFonts w:ascii="Century Gothic" w:hAnsi="Century Gothic"/>
          <w:b/>
          <w:bCs/>
        </w:rPr>
        <w:t>ú</w:t>
      </w:r>
      <w:r>
        <w:rPr>
          <w:rStyle w:val="Ninguno"/>
          <w:rFonts w:ascii="Century Gothic" w:hAnsi="Century Gothic"/>
          <w:b/>
          <w:bCs/>
        </w:rPr>
        <w:t>blicas, Cultura e Innovaci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y Desarrollo Econ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  <w:lang w:val="it-IT"/>
        </w:rPr>
        <w:t>mico.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El programa se dirigir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a los municipios o localidades que cuenten con la declaratoria, mediante el otorgamiento de rec</w:t>
      </w:r>
      <w:r>
        <w:rPr>
          <w:rStyle w:val="Ninguno"/>
          <w:rFonts w:ascii="Century Gothic" w:hAnsi="Century Gothic"/>
          <w:b/>
          <w:bCs/>
        </w:rPr>
        <w:t>ursos destinados a mejorar la oferta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stica, infraestructura, imagen urbana, mantenimiento y conservaci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de inmuebles considerados patrimonio cultural y proyectos tendientes a fomentar el desarrollo econ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mico.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bookmarkStart w:id="1" w:name="_Hlk115962091"/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 36 Q</w:t>
      </w:r>
      <w:bookmarkEnd w:id="1"/>
      <w:r>
        <w:rPr>
          <w:rStyle w:val="Ninguno"/>
          <w:rFonts w:ascii="Century Gothic" w:hAnsi="Century Gothic"/>
          <w:b/>
          <w:bCs/>
        </w:rPr>
        <w:t>uinquies. Para obtener la de</w:t>
      </w:r>
      <w:r>
        <w:rPr>
          <w:rStyle w:val="Ninguno"/>
          <w:rFonts w:ascii="Century Gothic" w:hAnsi="Century Gothic"/>
          <w:b/>
          <w:bCs/>
        </w:rPr>
        <w:t>claratoria de Pueblos Tradicionales, los Municipios o localidades aspirantes deber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>n cumplir con los siguientes requisitos:</w:t>
      </w:r>
      <w:r>
        <w:rPr>
          <w:rStyle w:val="Ninguno"/>
          <w:rFonts w:ascii="Century Gothic" w:hAnsi="Century Gothic"/>
          <w:b/>
          <w:bCs/>
        </w:rPr>
        <w:tab/>
      </w:r>
    </w:p>
    <w:p w:rsidR="00273E9A" w:rsidRDefault="008B736C">
      <w:pPr>
        <w:pStyle w:val="CuerpoA"/>
        <w:spacing w:after="160" w:line="360" w:lineRule="auto"/>
        <w:ind w:left="720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I. Acreditar la integraci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formal de un Comit</w:t>
      </w:r>
      <w:r>
        <w:rPr>
          <w:rStyle w:val="Ninguno"/>
          <w:rFonts w:ascii="Century Gothic" w:hAnsi="Century Gothic"/>
          <w:b/>
          <w:bCs/>
        </w:rPr>
        <w:t xml:space="preserve">é </w:t>
      </w:r>
      <w:r>
        <w:rPr>
          <w:rStyle w:val="Ninguno"/>
          <w:rFonts w:ascii="Century Gothic" w:hAnsi="Century Gothic"/>
          <w:b/>
          <w:bCs/>
        </w:rPr>
        <w:t>Pro-Pueblos Tradicionales;</w:t>
      </w:r>
    </w:p>
    <w:p w:rsidR="00273E9A" w:rsidRDefault="008B736C">
      <w:pPr>
        <w:pStyle w:val="CuerpoA"/>
        <w:spacing w:after="160" w:line="360" w:lineRule="auto"/>
        <w:ind w:left="720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II. Contar con un programa municipal aprobado por la Sec</w:t>
      </w:r>
      <w:r>
        <w:rPr>
          <w:rStyle w:val="Ninguno"/>
          <w:rFonts w:ascii="Century Gothic" w:hAnsi="Century Gothic"/>
          <w:b/>
          <w:bCs/>
        </w:rPr>
        <w:t>retar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a, el cual contenga un estudio de impacto en el desarrollo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it-IT"/>
        </w:rPr>
        <w:t>stico del Municipio o localidad aspirante;</w:t>
      </w:r>
    </w:p>
    <w:p w:rsidR="00273E9A" w:rsidRDefault="008B736C">
      <w:pPr>
        <w:pStyle w:val="CuerpoA"/>
        <w:spacing w:after="160" w:line="360" w:lineRule="auto"/>
        <w:ind w:left="720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III. Contar con ordenamientos municipales vigentes con enfocados al desarrollo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it-IT"/>
        </w:rPr>
        <w:t xml:space="preserve">stico; </w:t>
      </w:r>
    </w:p>
    <w:p w:rsidR="00273E9A" w:rsidRDefault="008B736C">
      <w:pPr>
        <w:pStyle w:val="CuerpoA"/>
        <w:spacing w:after="160" w:line="360" w:lineRule="auto"/>
        <w:ind w:left="720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IV. Los dem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>s que establezca la presente Ley y las re</w:t>
      </w:r>
      <w:r>
        <w:rPr>
          <w:rStyle w:val="Ninguno"/>
          <w:rFonts w:ascii="Century Gothic" w:hAnsi="Century Gothic"/>
          <w:b/>
          <w:bCs/>
        </w:rPr>
        <w:t>glas de operaci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  <w:lang w:val="it-IT"/>
        </w:rPr>
        <w:t>n del programa.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 36 Sexies.  Para el efecto de estudiar y dictaminar las solicitudes que realicen los Municipios o localidades para obtener esta declaratoria</w:t>
      </w:r>
      <w:r>
        <w:rPr>
          <w:rStyle w:val="Ninguno"/>
          <w:rFonts w:ascii="Century Gothic" w:hAnsi="Century Gothic"/>
          <w:b/>
          <w:bCs/>
          <w:lang w:val="pt-PT"/>
        </w:rPr>
        <w:t>, se instalar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  <w:lang w:val="it-IT"/>
        </w:rPr>
        <w:t xml:space="preserve">el </w:t>
      </w:r>
      <w:r>
        <w:rPr>
          <w:rStyle w:val="Ninguno"/>
          <w:rFonts w:ascii="Century Gothic" w:hAnsi="Century Gothic"/>
          <w:b/>
          <w:bCs/>
        </w:rPr>
        <w:t>“</w:t>
      </w:r>
      <w:r>
        <w:rPr>
          <w:rStyle w:val="Ninguno"/>
          <w:rFonts w:ascii="Century Gothic" w:hAnsi="Century Gothic"/>
          <w:b/>
          <w:bCs/>
          <w:lang w:val="pt-PT"/>
        </w:rPr>
        <w:t>Comit</w:t>
      </w:r>
      <w:r>
        <w:rPr>
          <w:rStyle w:val="Ninguno"/>
          <w:rFonts w:ascii="Century Gothic" w:hAnsi="Century Gothic"/>
          <w:b/>
          <w:bCs/>
        </w:rPr>
        <w:t xml:space="preserve">é </w:t>
      </w:r>
      <w:r>
        <w:rPr>
          <w:rStyle w:val="Ninguno"/>
          <w:rFonts w:ascii="Century Gothic" w:hAnsi="Century Gothic"/>
          <w:b/>
          <w:bCs/>
        </w:rPr>
        <w:t>de Pueblos Tradicionales</w:t>
      </w:r>
      <w:r>
        <w:rPr>
          <w:rStyle w:val="Ninguno"/>
          <w:rFonts w:ascii="Century Gothic" w:hAnsi="Century Gothic"/>
          <w:b/>
          <w:bCs/>
        </w:rPr>
        <w:t xml:space="preserve">” </w:t>
      </w:r>
      <w:r>
        <w:rPr>
          <w:rStyle w:val="Ninguno"/>
          <w:rFonts w:ascii="Century Gothic" w:hAnsi="Century Gothic"/>
          <w:b/>
          <w:bCs/>
        </w:rPr>
        <w:t>que ser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presidido por</w:t>
      </w:r>
      <w:r>
        <w:rPr>
          <w:rStyle w:val="Ninguno"/>
          <w:rFonts w:ascii="Century Gothic" w:hAnsi="Century Gothic"/>
          <w:b/>
          <w:bCs/>
        </w:rPr>
        <w:t xml:space="preserve"> la Secretar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 de Turismo quien contar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con el voto de calidad dentro de la decisi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que se tome conjuntamente por la Secretar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as de Obras P</w:t>
      </w:r>
      <w:r>
        <w:rPr>
          <w:rStyle w:val="Ninguno"/>
          <w:rFonts w:ascii="Century Gothic" w:hAnsi="Century Gothic"/>
          <w:b/>
          <w:bCs/>
        </w:rPr>
        <w:t>ú</w:t>
      </w:r>
      <w:r>
        <w:rPr>
          <w:rStyle w:val="Ninguno"/>
          <w:rFonts w:ascii="Century Gothic" w:hAnsi="Century Gothic"/>
          <w:b/>
          <w:bCs/>
        </w:rPr>
        <w:t>blicas, Cultura e Innovaci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y Desarrollo Econ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 xml:space="preserve">mico. 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Las Secretar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as que conforman el Comit</w:t>
      </w:r>
      <w:r>
        <w:rPr>
          <w:rStyle w:val="Ninguno"/>
          <w:rFonts w:ascii="Century Gothic" w:hAnsi="Century Gothic"/>
          <w:b/>
          <w:bCs/>
        </w:rPr>
        <w:t xml:space="preserve">é </w:t>
      </w:r>
      <w:r>
        <w:rPr>
          <w:rStyle w:val="Ninguno"/>
          <w:rFonts w:ascii="Century Gothic" w:hAnsi="Century Gothic"/>
          <w:b/>
          <w:bCs/>
        </w:rPr>
        <w:t>de Pueblos Tradiciona</w:t>
      </w:r>
      <w:r>
        <w:rPr>
          <w:rStyle w:val="Ninguno"/>
          <w:rFonts w:ascii="Century Gothic" w:hAnsi="Century Gothic"/>
          <w:b/>
          <w:bCs/>
        </w:rPr>
        <w:t>les se har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 xml:space="preserve">n representar por su titular o persona designada para tal efecto, contando con un voto por cada dependencia. 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La Declaratoria de Pueblos Tradicionales del Estado o la revocaci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de este acto, se har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 xml:space="preserve">mediante Decreto del Titular del Ejecutivo, </w:t>
      </w:r>
      <w:r>
        <w:rPr>
          <w:rStyle w:val="Ninguno"/>
          <w:rFonts w:ascii="Century Gothic" w:hAnsi="Century Gothic"/>
          <w:b/>
          <w:bCs/>
        </w:rPr>
        <w:t>previo estudio y dictaminaci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por parte del Comit</w:t>
      </w:r>
      <w:r>
        <w:rPr>
          <w:rStyle w:val="Ninguno"/>
          <w:rFonts w:ascii="Century Gothic" w:hAnsi="Century Gothic"/>
          <w:b/>
          <w:bCs/>
        </w:rPr>
        <w:t xml:space="preserve">é </w:t>
      </w:r>
      <w:r>
        <w:rPr>
          <w:rStyle w:val="Ninguno"/>
          <w:rFonts w:ascii="Century Gothic" w:hAnsi="Century Gothic"/>
          <w:b/>
          <w:bCs/>
        </w:rPr>
        <w:t>de Pueblos Tradicionales, quien generara criterios para evaluar la pertinencia de otorgar dicha declaratoria en los t</w:t>
      </w:r>
      <w:r>
        <w:rPr>
          <w:rStyle w:val="Ninguno"/>
          <w:rFonts w:ascii="Century Gothic" w:hAnsi="Century Gothic"/>
          <w:b/>
          <w:bCs/>
        </w:rPr>
        <w:t>é</w:t>
      </w:r>
      <w:r>
        <w:rPr>
          <w:rStyle w:val="Ninguno"/>
          <w:rFonts w:ascii="Century Gothic" w:hAnsi="Century Gothic"/>
          <w:b/>
          <w:bCs/>
        </w:rPr>
        <w:t>rminos de la presente Ley y una vez emitido el dictamen que sugiera otorgar la declara</w:t>
      </w:r>
      <w:r>
        <w:rPr>
          <w:rStyle w:val="Ninguno"/>
          <w:rFonts w:ascii="Century Gothic" w:hAnsi="Century Gothic"/>
          <w:b/>
          <w:bCs/>
        </w:rPr>
        <w:t>toria a la que se refiere el presente cap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tulo o su revocaci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n, ser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comunicada a la persona titular del poder ejecutivo, con la intenci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 xml:space="preserve">n de que acepte o rechace la propuesta. 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La Declaratoria deber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ser publicar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en el Peri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dico Oficial del Estado de Chi</w:t>
      </w:r>
      <w:r>
        <w:rPr>
          <w:rStyle w:val="Ninguno"/>
          <w:rFonts w:ascii="Century Gothic" w:hAnsi="Century Gothic"/>
          <w:b/>
          <w:bCs/>
        </w:rPr>
        <w:t>huahua.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Realizada la declaratoria, la Secretar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 programar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acciones de capacitaci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en materia de turismo, cultura, de prestaci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de servicios tur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pt-PT"/>
        </w:rPr>
        <w:t xml:space="preserve">sticos y aquellos beneficios que contemple el programa en favor del municipio o localidad. 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</w:rPr>
        <w:t xml:space="preserve">            </w:t>
      </w:r>
    </w:p>
    <w:p w:rsidR="00273E9A" w:rsidRDefault="008B736C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lang w:val="de-DE"/>
        </w:rPr>
      </w:pPr>
      <w:r>
        <w:rPr>
          <w:rStyle w:val="Ninguno"/>
          <w:rFonts w:ascii="Century Gothic" w:hAnsi="Century Gothic"/>
          <w:b/>
          <w:bCs/>
          <w:lang w:val="de-DE"/>
        </w:rPr>
        <w:t>TRANSITORIOS</w:t>
      </w: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 xml:space="preserve">CULO </w:t>
      </w:r>
      <w:r>
        <w:rPr>
          <w:rStyle w:val="Ninguno"/>
          <w:rFonts w:ascii="Century Gothic" w:hAnsi="Century Gothic"/>
          <w:b/>
          <w:bCs/>
          <w:lang w:val="de-DE"/>
        </w:rPr>
        <w:t>Ú</w:t>
      </w:r>
      <w:r>
        <w:rPr>
          <w:rStyle w:val="Ninguno"/>
          <w:rFonts w:ascii="Century Gothic" w:hAnsi="Century Gothic"/>
          <w:b/>
          <w:bCs/>
          <w:lang w:val="de-DE"/>
        </w:rPr>
        <w:t>NICO</w:t>
      </w:r>
      <w:r>
        <w:rPr>
          <w:rStyle w:val="Ninguno"/>
          <w:rFonts w:ascii="Century Gothic" w:hAnsi="Century Gothic"/>
          <w:b/>
          <w:bCs/>
          <w:lang w:val="ru-RU"/>
        </w:rPr>
        <w:t xml:space="preserve">. - </w:t>
      </w:r>
      <w:r>
        <w:rPr>
          <w:rStyle w:val="Ninguno"/>
          <w:rFonts w:ascii="Century Gothic" w:hAnsi="Century Gothic"/>
        </w:rPr>
        <w:t xml:space="preserve"> El presente</w:t>
      </w:r>
      <w:r>
        <w:rPr>
          <w:rStyle w:val="Ninguno"/>
          <w:rFonts w:ascii="Century Gothic" w:hAnsi="Century Gothic"/>
          <w:lang w:val="pt-PT"/>
        </w:rPr>
        <w:t xml:space="preserve"> decreto entrar</w:t>
      </w:r>
      <w:r>
        <w:rPr>
          <w:rStyle w:val="Ninguno"/>
          <w:rFonts w:ascii="Century Gothic" w:hAnsi="Century Gothic"/>
        </w:rPr>
        <w:t xml:space="preserve">á </w:t>
      </w:r>
      <w:r>
        <w:rPr>
          <w:rStyle w:val="Ninguno"/>
          <w:rFonts w:ascii="Century Gothic" w:hAnsi="Century Gothic"/>
        </w:rPr>
        <w:t>en vigor al d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siguiente de su publicaci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en el Peri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dico Oficial del Estado.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ECON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MICO</w:t>
      </w:r>
      <w:r>
        <w:rPr>
          <w:rStyle w:val="Ninguno"/>
          <w:rFonts w:ascii="Century Gothic" w:hAnsi="Century Gothic"/>
        </w:rPr>
        <w:t>.  Aprobado que sea t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rnese a la secretar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para que elabore la minuta correspondiente.</w:t>
      </w:r>
      <w:r>
        <w:rPr>
          <w:rStyle w:val="Ninguno"/>
          <w:rFonts w:ascii="Century Gothic" w:hAnsi="Century Gothic"/>
          <w:b/>
          <w:bCs/>
        </w:rPr>
        <w:t xml:space="preserve"> 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Dado en el Sal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  <w:r>
        <w:rPr>
          <w:rStyle w:val="Ninguno"/>
          <w:rFonts w:ascii="Century Gothic" w:hAnsi="Century Gothic"/>
        </w:rPr>
        <w:t xml:space="preserve"> de Sesiones a los 18 d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as del mes de octubre del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 dos mil veintid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  <w:lang w:val="pt-PT"/>
        </w:rPr>
        <w:t>s.</w:t>
      </w:r>
    </w:p>
    <w:p w:rsidR="00273E9A" w:rsidRDefault="00273E9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:rsidR="00273E9A" w:rsidRDefault="008B736C">
      <w:pPr>
        <w:pStyle w:val="CuerpoAA"/>
        <w:spacing w:line="360" w:lineRule="auto"/>
        <w:jc w:val="center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sz w:val="24"/>
          <w:szCs w:val="24"/>
        </w:rPr>
        <w:t>ATENTAMENTE</w:t>
      </w:r>
    </w:p>
    <w:p w:rsidR="00273E9A" w:rsidRDefault="00273E9A">
      <w:pPr>
        <w:pStyle w:val="CuerpoAA"/>
        <w:spacing w:line="360" w:lineRule="auto"/>
        <w:jc w:val="center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:rsidR="00273E9A" w:rsidRDefault="00273E9A">
      <w:pPr>
        <w:pStyle w:val="CuerpoAA"/>
        <w:spacing w:line="360" w:lineRule="auto"/>
        <w:jc w:val="center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:rsidR="00273E9A" w:rsidRDefault="008B736C">
      <w:pPr>
        <w:pStyle w:val="CuerpoAA"/>
        <w:spacing w:line="360" w:lineRule="auto"/>
        <w:jc w:val="center"/>
      </w:pPr>
      <w:r>
        <w:rPr>
          <w:rStyle w:val="Ninguno"/>
          <w:rFonts w:ascii="Century Gothic" w:hAnsi="Century Gothic"/>
          <w:b/>
          <w:bCs/>
          <w:sz w:val="24"/>
          <w:szCs w:val="24"/>
        </w:rPr>
        <w:t>DIP. ISELA MART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Í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NEZ D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Í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AZ</w:t>
      </w:r>
    </w:p>
    <w:tbl>
      <w:tblPr>
        <w:tblStyle w:val="TableNormal"/>
        <w:tblW w:w="91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575"/>
      </w:tblGrid>
      <w:tr w:rsidR="002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MARISELA TERRAZAS MU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Ñ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           DIP. ISMAEL P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É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REZ PAV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</w:tr>
      <w:tr w:rsidR="002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ROC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O GUADALUPE SARMIENTO RUFINO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             DIP. SA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Ú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L MIRELES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 CORRAL</w:t>
            </w:r>
          </w:p>
        </w:tc>
      </w:tr>
      <w:tr w:rsidR="002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DIP. ANA MARGARITA BLACKALLER PRIETO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JOS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É 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ALFREDO CH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Á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VEZ MADRID</w:t>
            </w:r>
          </w:p>
        </w:tc>
      </w:tr>
      <w:tr w:rsidR="002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CARLOS ALFREDO OLSON SAN VICENTE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CARLA YAMILETH RIVAS MART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NEZ</w:t>
            </w:r>
          </w:p>
        </w:tc>
      </w:tr>
      <w:tr w:rsidR="002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ROBERTO MARCELINO CARRE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 HUITR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LUIS ALBERTO AGUILAR LOZOYA</w:t>
            </w:r>
          </w:p>
        </w:tc>
      </w:tr>
      <w:tr w:rsidR="002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DIP. 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DIANA IVETTE PEREDA GUTI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É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RREZ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DIP. GABRIEL 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Á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NGEL GARC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 CANT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Ú</w:t>
            </w:r>
          </w:p>
        </w:tc>
      </w:tr>
      <w:tr w:rsidR="00273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YESENIA GUADALUPE REYES CALZAD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273E9A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273E9A" w:rsidRDefault="008B736C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MARIO HUMBERTO V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Á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ZQUEZ ROBLES</w:t>
            </w:r>
          </w:p>
        </w:tc>
      </w:tr>
    </w:tbl>
    <w:p w:rsidR="00273E9A" w:rsidRDefault="00273E9A">
      <w:pPr>
        <w:pStyle w:val="CuerpoAA"/>
        <w:widowControl w:val="0"/>
        <w:spacing w:line="240" w:lineRule="auto"/>
        <w:ind w:left="108" w:hanging="108"/>
        <w:jc w:val="center"/>
      </w:pPr>
    </w:p>
    <w:p w:rsidR="00273E9A" w:rsidRDefault="00273E9A">
      <w:pPr>
        <w:pStyle w:val="CuerpoAA"/>
        <w:widowControl w:val="0"/>
        <w:spacing w:line="240" w:lineRule="auto"/>
      </w:pPr>
    </w:p>
    <w:p w:rsidR="00273E9A" w:rsidRDefault="00273E9A">
      <w:pPr>
        <w:pStyle w:val="CuerpoA"/>
        <w:spacing w:after="160" w:line="360" w:lineRule="auto"/>
        <w:jc w:val="center"/>
      </w:pPr>
    </w:p>
    <w:sectPr w:rsidR="00273E9A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36C">
      <w:r>
        <w:separator/>
      </w:r>
    </w:p>
  </w:endnote>
  <w:endnote w:type="continuationSeparator" w:id="0">
    <w:p w:rsidR="00000000" w:rsidRDefault="008B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9A" w:rsidRDefault="008B736C">
    <w:pPr>
      <w:pStyle w:val="CuerpoAA"/>
      <w:tabs>
        <w:tab w:val="center" w:pos="4419"/>
        <w:tab w:val="right" w:pos="8818"/>
      </w:tabs>
      <w:spacing w:after="0" w:line="240" w:lineRule="auto"/>
      <w:jc w:val="center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2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9A" w:rsidRDefault="008B736C">
      <w:r>
        <w:separator/>
      </w:r>
    </w:p>
  </w:footnote>
  <w:footnote w:type="continuationSeparator" w:id="0">
    <w:p w:rsidR="00273E9A" w:rsidRDefault="008B736C">
      <w:r>
        <w:continuationSeparator/>
      </w:r>
    </w:p>
  </w:footnote>
  <w:footnote w:type="continuationNotice" w:id="1">
    <w:p w:rsidR="00273E9A" w:rsidRDefault="00273E9A"/>
  </w:footnote>
  <w:footnote w:id="2">
    <w:p w:rsidR="00273E9A" w:rsidRDefault="008B736C">
      <w:pPr>
        <w:pStyle w:val="Textonotapie"/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A"/>
          <w:rFonts w:eastAsia="Arial Unicode MS" w:cs="Arial Unicode MS"/>
        </w:rPr>
        <w:t xml:space="preserve"> </w:t>
      </w:r>
      <w:hyperlink r:id="rId1" w:history="1">
        <w:r>
          <w:rPr>
            <w:rStyle w:val="Hyperlink1"/>
            <w:rFonts w:eastAsia="Arial Unicode MS" w:cs="Arial Unicode MS"/>
          </w:rPr>
          <w:t>https://www.solunion.</w:t>
        </w:r>
        <w:r>
          <w:rPr>
            <w:rStyle w:val="Hyperlink1"/>
            <w:rFonts w:eastAsia="Arial Unicode MS" w:cs="Arial Unicode MS"/>
          </w:rPr>
          <w:t>mx/blog/sector-turistico-en-mexico-en-2022-el-motor-que-puede-salvar-la-economia/#:~:text=El%20turismo%20es%20una%20de,de%20la%20Secretar%C3%ADa%20de%20Turismo</w:t>
        </w:r>
      </w:hyperlink>
    </w:p>
  </w:footnote>
  <w:footnote w:id="3">
    <w:p w:rsidR="00273E9A" w:rsidRDefault="008B736C">
      <w:pPr>
        <w:pStyle w:val="Textonotapie"/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A"/>
          <w:rFonts w:eastAsia="Arial Unicode MS" w:cs="Arial Unicode MS"/>
        </w:rPr>
        <w:t xml:space="preserve"> https://www.gob.mx/sectur/articulos/pueblos-magicos-206528#:~:text=Actualmente%2C%20en%20nu</w:t>
      </w:r>
      <w:r>
        <w:rPr>
          <w:rStyle w:val="NingunoA"/>
          <w:rFonts w:eastAsia="Arial Unicode MS" w:cs="Arial Unicode MS"/>
        </w:rPr>
        <w:t>estro%20pa%C3%ADs%20existen,Aculco%2C%20Estado%20de%20M%C3%A9xico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9A" w:rsidRDefault="008B736C">
    <w:pPr>
      <w:pStyle w:val="CuerpoAA"/>
      <w:widowControl w:val="0"/>
      <w:tabs>
        <w:tab w:val="left" w:pos="5544"/>
      </w:tabs>
      <w:spacing w:after="0" w:line="200" w:lineRule="aut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259080</wp:posOffset>
          </wp:positionH>
          <wp:positionV relativeFrom="page">
            <wp:posOffset>202969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6630034</wp:posOffset>
          </wp:positionH>
          <wp:positionV relativeFrom="page">
            <wp:posOffset>246377</wp:posOffset>
          </wp:positionV>
          <wp:extent cx="857250" cy="857250"/>
          <wp:effectExtent l="0" t="0" r="0" b="0"/>
          <wp:wrapNone/>
          <wp:docPr id="1073741826" name="officeArt object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ipoDescripción generada automáticamente con confianza media" descr="Logotip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1766252</wp:posOffset>
          </wp:positionH>
          <wp:positionV relativeFrom="page">
            <wp:posOffset>472440</wp:posOffset>
          </wp:positionV>
          <wp:extent cx="4252596" cy="457200"/>
          <wp:effectExtent l="0" t="0" r="0" b="0"/>
          <wp:wrapNone/>
          <wp:docPr id="1073741827" name="officeArt object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FormaDescripción generada automáticamente con confianza media" descr="Forma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6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6472236</wp:posOffset>
              </wp:positionH>
              <wp:positionV relativeFrom="page">
                <wp:posOffset>18459129</wp:posOffset>
              </wp:positionV>
              <wp:extent cx="248284" cy="224900"/>
              <wp:effectExtent l="0" t="0" r="0" b="0"/>
              <wp:wrapNone/>
              <wp:docPr id="1073741828" name="officeArt object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4" cy="224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73E9A" w:rsidRDefault="008B736C">
                          <w:pPr>
                            <w:pStyle w:val="CuerpoAA"/>
                            <w:spacing w:after="0" w:line="245" w:lineRule="auto"/>
                            <w:ind w:left="40" w:firstLine="80"/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24"/>
                              <w:szCs w:val="24"/>
                              <w:lang w:val="de-DE"/>
                            </w:rPr>
                            <w:t xml:space="preserve"> PAGE 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09.6pt;margin-top:1453.5pt;width:19.5pt;height:17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 A"/>
                      <w:spacing w:after="0" w:line="245" w:lineRule="auto"/>
                      <w:ind w:left="40" w:firstLine="80"/>
                    </w:pPr>
                    <w:r>
                      <w:rPr>
                        <w:rStyle w:val="Ninguno"/>
                        <w:rFonts w:ascii="Arial" w:hAnsi="Arial"/>
                        <w:sz w:val="24"/>
                        <w:szCs w:val="24"/>
                        <w:rtl w:val="0"/>
                        <w:lang w:val="de-DE"/>
                      </w:rPr>
                      <w:t xml:space="preserve"> PAGE 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Ninguno"/>
        <w:rFonts w:ascii="Times New Roman" w:hAnsi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273E9A"/>
    <w:rsid w:val="008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B8529-7DF8-4081-B532-FF353B94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Century Gothic" w:eastAsia="Century Gothic" w:hAnsi="Century Gothic" w:cs="Century Gothic"/>
      <w:outline w:val="0"/>
      <w:color w:val="000000"/>
      <w:u w:val="none" w:color="000000"/>
      <w:lang w:val="es-ES_tradnl"/>
    </w:rPr>
  </w:style>
  <w:style w:type="paragraph" w:styleId="Textonotapie">
    <w:name w:val="footnote text"/>
    <w:rPr>
      <w:rFonts w:eastAsia="Times New Roman"/>
      <w:color w:val="000000"/>
      <w:u w:color="000000"/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1">
    <w:name w:val="Hyperlink.1"/>
    <w:basedOn w:val="Ningun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.mx/sectur/prensa/mexico-a-3-1-de-alcanzar-el-numero-de-pasajeros-en-vuelos-nacionales-registrados-en-2019?idiom=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lunion.mx/blog/sector-turistico-en-mexico-en-2022-el-motor-que-puede-salvar-la-economia/%23:~:text=El%252520turismo%252520es%252520una%252520de,de%252520la%252520Secretar%2525C3%2525ADa%252520de%252520Turism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2022-10-17T20:37:00Z</dcterms:created>
  <dcterms:modified xsi:type="dcterms:W3CDTF">2022-10-17T20:37:00Z</dcterms:modified>
</cp:coreProperties>
</file>