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90727" w14:textId="77777777" w:rsidR="00247CE1" w:rsidRPr="000004E5" w:rsidRDefault="00247CE1" w:rsidP="007056AD">
      <w:pPr>
        <w:tabs>
          <w:tab w:val="left" w:pos="5123"/>
        </w:tabs>
        <w:spacing w:after="120" w:line="360" w:lineRule="auto"/>
        <w:ind w:left="720"/>
        <w:jc w:val="both"/>
        <w:rPr>
          <w:rFonts w:ascii="Century Gothic" w:eastAsia="Century Gothic" w:hAnsi="Century Gothic" w:cs="Century Gothic"/>
          <w:b/>
          <w:sz w:val="23"/>
          <w:szCs w:val="23"/>
        </w:rPr>
      </w:pPr>
      <w:bookmarkStart w:id="0" w:name="_GoBack"/>
      <w:bookmarkEnd w:id="0"/>
      <w:r w:rsidRPr="000004E5">
        <w:rPr>
          <w:rFonts w:ascii="Century Gothic" w:eastAsia="Century Gothic" w:hAnsi="Century Gothic" w:cs="Century Gothic"/>
          <w:b/>
          <w:sz w:val="23"/>
          <w:szCs w:val="23"/>
        </w:rPr>
        <w:t>H. CONGRESO DEL ESTADO DE CHIHUAHUA</w:t>
      </w:r>
      <w:r w:rsidRPr="000004E5">
        <w:rPr>
          <w:rFonts w:ascii="Century Gothic" w:eastAsia="Century Gothic" w:hAnsi="Century Gothic" w:cs="Century Gothic"/>
          <w:b/>
          <w:sz w:val="23"/>
          <w:szCs w:val="23"/>
        </w:rPr>
        <w:tab/>
        <w:t xml:space="preserve"> </w:t>
      </w:r>
    </w:p>
    <w:p w14:paraId="79342194" w14:textId="77777777" w:rsidR="00247CE1" w:rsidRPr="000004E5" w:rsidRDefault="00247CE1" w:rsidP="007056AD">
      <w:pPr>
        <w:spacing w:after="120" w:line="360" w:lineRule="auto"/>
        <w:ind w:left="720"/>
        <w:jc w:val="both"/>
        <w:rPr>
          <w:rFonts w:ascii="Century Gothic" w:eastAsia="Century Gothic" w:hAnsi="Century Gothic" w:cs="Century Gothic"/>
          <w:b/>
          <w:sz w:val="23"/>
          <w:szCs w:val="23"/>
        </w:rPr>
      </w:pPr>
      <w:r w:rsidRPr="000004E5">
        <w:rPr>
          <w:rFonts w:ascii="Century Gothic" w:eastAsia="Century Gothic" w:hAnsi="Century Gothic" w:cs="Century Gothic"/>
          <w:b/>
          <w:sz w:val="23"/>
          <w:szCs w:val="23"/>
        </w:rPr>
        <w:t>P R E S E N T E.</w:t>
      </w:r>
    </w:p>
    <w:p w14:paraId="5ED610F3" w14:textId="1AD079A9" w:rsidR="000004E5" w:rsidRPr="007056AD" w:rsidRDefault="00247CE1" w:rsidP="007056AD">
      <w:pPr>
        <w:pStyle w:val="Prrafodelista"/>
        <w:spacing w:after="120" w:line="360" w:lineRule="auto"/>
        <w:ind w:left="720"/>
        <w:jc w:val="both"/>
        <w:rPr>
          <w:rFonts w:ascii="Century Gothic" w:hAnsi="Century Gothic"/>
          <w:sz w:val="23"/>
          <w:szCs w:val="23"/>
        </w:rPr>
      </w:pPr>
      <w:r w:rsidRPr="000004E5">
        <w:rPr>
          <w:rFonts w:ascii="Century Gothic" w:eastAsia="Century Gothic" w:hAnsi="Century Gothic" w:cs="Century Gothic"/>
          <w:sz w:val="23"/>
          <w:szCs w:val="23"/>
        </w:rPr>
        <w:t>Los que suscriben, Edin Cuauhtémoc Estrada Sotelo, Óscar Daniel Avitia Arellanes, Rosana Díaz Reyes, Gustavo De la Rosa Hickerson, Ilse América García Soto, Magdalena Rentería Pérez, María Antonieta Pérez Reyes, Benjamín Carrera Chávez</w:t>
      </w:r>
      <w:r w:rsidR="00125A9D" w:rsidRPr="000004E5">
        <w:rPr>
          <w:rFonts w:ascii="Century Gothic" w:eastAsia="Century Gothic" w:hAnsi="Century Gothic" w:cs="Century Gothic"/>
          <w:sz w:val="23"/>
          <w:szCs w:val="23"/>
        </w:rPr>
        <w:t xml:space="preserve">, </w:t>
      </w:r>
      <w:r w:rsidRPr="000004E5">
        <w:rPr>
          <w:rFonts w:ascii="Century Gothic" w:eastAsia="Century Gothic" w:hAnsi="Century Gothic" w:cs="Century Gothic"/>
          <w:sz w:val="23"/>
          <w:szCs w:val="23"/>
        </w:rPr>
        <w:t>David Óscar Castrejón Rivas</w:t>
      </w:r>
      <w:r w:rsidR="00125A9D" w:rsidRPr="000004E5">
        <w:rPr>
          <w:rFonts w:ascii="Century Gothic" w:eastAsia="Century Gothic" w:hAnsi="Century Gothic" w:cs="Century Gothic"/>
          <w:sz w:val="23"/>
          <w:szCs w:val="23"/>
        </w:rPr>
        <w:t xml:space="preserve"> y Leticia Ortega Máynez, </w:t>
      </w:r>
      <w:r w:rsidRPr="000004E5">
        <w:rPr>
          <w:rFonts w:ascii="Century Gothic" w:eastAsia="Century Gothic" w:hAnsi="Century Gothic" w:cs="Century Gothic"/>
          <w:sz w:val="23"/>
          <w:szCs w:val="23"/>
        </w:rPr>
        <w:t xml:space="preserve"> en nuestro carácter de Diputad</w:t>
      </w:r>
      <w:r w:rsidR="00125A9D" w:rsidRPr="000004E5">
        <w:rPr>
          <w:rFonts w:ascii="Century Gothic" w:eastAsia="Century Gothic" w:hAnsi="Century Gothic" w:cs="Century Gothic"/>
          <w:sz w:val="23"/>
          <w:szCs w:val="23"/>
        </w:rPr>
        <w:t>as y Diputados</w:t>
      </w:r>
      <w:r w:rsidRPr="000004E5">
        <w:rPr>
          <w:rFonts w:ascii="Century Gothic" w:eastAsia="Century Gothic" w:hAnsi="Century Gothic" w:cs="Century Gothic"/>
          <w:sz w:val="23"/>
          <w:szCs w:val="23"/>
        </w:rPr>
        <w:t xml:space="preserve"> de la Sexagésima Séptima Legislatura del Honorable Congreso del Estado de Chihuahua e integrantes del Grupo Parlamentario de Morena, </w:t>
      </w:r>
      <w:r w:rsidRPr="000004E5">
        <w:rPr>
          <w:rFonts w:ascii="Century Gothic" w:eastAsia="Century Gothic" w:hAnsi="Century Gothic" w:cs="Century Gothic"/>
          <w:bCs/>
          <w:sz w:val="23"/>
          <w:szCs w:val="23"/>
        </w:rPr>
        <w:t xml:space="preserve">con fundamento en lo que dispone los artículos 167, fracción I, y 169, todos de la Ley Orgánica del Poder </w:t>
      </w:r>
      <w:r w:rsidRPr="007056AD">
        <w:rPr>
          <w:rFonts w:ascii="Century Gothic" w:eastAsia="Century Gothic" w:hAnsi="Century Gothic" w:cs="Century Gothic"/>
          <w:bCs/>
          <w:sz w:val="23"/>
          <w:szCs w:val="23"/>
        </w:rPr>
        <w:t xml:space="preserve">Legislativo del Estado de Chihuahua; artículo 2, fracción IX, del Reglamento Interior y de Prácticas Parlamentarias del Poder Legislativo; comparecemos  ante este Honorable Soberanía, a fin de presentar </w:t>
      </w:r>
      <w:r w:rsidR="002B5D95" w:rsidRPr="007056AD">
        <w:rPr>
          <w:rFonts w:ascii="Century Gothic" w:eastAsia="Century Gothic" w:hAnsi="Century Gothic" w:cs="Century Gothic"/>
          <w:b/>
          <w:sz w:val="23"/>
          <w:szCs w:val="23"/>
        </w:rPr>
        <w:t>p</w:t>
      </w:r>
      <w:r w:rsidRPr="007056AD">
        <w:rPr>
          <w:rFonts w:ascii="Century Gothic" w:eastAsia="Century Gothic" w:hAnsi="Century Gothic" w:cs="Century Gothic"/>
          <w:b/>
          <w:sz w:val="23"/>
          <w:szCs w:val="23"/>
        </w:rPr>
        <w:t xml:space="preserve">roposición con carácter de Punto de Acuerdo a efecto de exhortar </w:t>
      </w:r>
      <w:r w:rsidRPr="007056AD">
        <w:rPr>
          <w:rFonts w:ascii="Century Gothic" w:hAnsi="Century Gothic"/>
          <w:b/>
          <w:sz w:val="23"/>
          <w:szCs w:val="23"/>
        </w:rPr>
        <w:t>a</w:t>
      </w:r>
      <w:r w:rsidR="007056AD" w:rsidRPr="007056AD">
        <w:rPr>
          <w:rFonts w:ascii="Century Gothic" w:hAnsi="Century Gothic"/>
          <w:b/>
          <w:sz w:val="23"/>
          <w:szCs w:val="23"/>
        </w:rPr>
        <w:t xml:space="preserve">l Centro de Formación y Actualización Judicial para que de manera </w:t>
      </w:r>
      <w:r w:rsidR="007056AD" w:rsidRPr="00E017BC">
        <w:rPr>
          <w:rFonts w:ascii="Century Gothic" w:hAnsi="Century Gothic"/>
          <w:b/>
          <w:sz w:val="23"/>
          <w:szCs w:val="23"/>
        </w:rPr>
        <w:t xml:space="preserve">permanente instrumente </w:t>
      </w:r>
      <w:r w:rsidR="00FF23DA">
        <w:rPr>
          <w:rFonts w:ascii="Century Gothic" w:hAnsi="Century Gothic"/>
          <w:b/>
          <w:sz w:val="23"/>
          <w:szCs w:val="23"/>
        </w:rPr>
        <w:t>capacitaciones</w:t>
      </w:r>
      <w:r w:rsidR="007056AD" w:rsidRPr="00E017BC">
        <w:rPr>
          <w:rFonts w:ascii="Century Gothic" w:hAnsi="Century Gothic"/>
          <w:b/>
          <w:sz w:val="23"/>
          <w:szCs w:val="23"/>
        </w:rPr>
        <w:t xml:space="preserve"> y evaluaciones </w:t>
      </w:r>
      <w:r w:rsidR="00E017BC" w:rsidRPr="00E017BC">
        <w:rPr>
          <w:rFonts w:ascii="Arial" w:hAnsi="Arial" w:cs="Arial"/>
          <w:color w:val="4D5156"/>
          <w:sz w:val="23"/>
          <w:szCs w:val="23"/>
          <w:shd w:val="clear" w:color="auto" w:fill="FFFFFF"/>
        </w:rPr>
        <w:t>—</w:t>
      </w:r>
      <w:r w:rsidR="007056AD" w:rsidRPr="00E017BC">
        <w:rPr>
          <w:rFonts w:ascii="Century Gothic" w:hAnsi="Century Gothic"/>
          <w:b/>
          <w:sz w:val="23"/>
          <w:szCs w:val="23"/>
        </w:rPr>
        <w:t>cuyos resultados sean públicos</w:t>
      </w:r>
      <w:r w:rsidR="00E017BC" w:rsidRPr="00E017BC">
        <w:rPr>
          <w:rFonts w:ascii="Arial" w:hAnsi="Arial" w:cs="Arial"/>
          <w:color w:val="4D5156"/>
          <w:sz w:val="23"/>
          <w:szCs w:val="23"/>
          <w:shd w:val="clear" w:color="auto" w:fill="FFFFFF"/>
        </w:rPr>
        <w:t>—</w:t>
      </w:r>
      <w:r w:rsidR="007056AD" w:rsidRPr="00E017BC">
        <w:rPr>
          <w:rFonts w:ascii="Century Gothic" w:hAnsi="Century Gothic"/>
          <w:b/>
          <w:sz w:val="23"/>
          <w:szCs w:val="23"/>
        </w:rPr>
        <w:t>, sobre los protocolos actualizados para juzgar con perspectiva de género</w:t>
      </w:r>
      <w:r w:rsidR="007056AD">
        <w:rPr>
          <w:rFonts w:ascii="Century Gothic" w:hAnsi="Century Gothic"/>
          <w:b/>
          <w:sz w:val="23"/>
          <w:szCs w:val="23"/>
        </w:rPr>
        <w:t xml:space="preserve">, </w:t>
      </w:r>
      <w:r w:rsidRPr="007056AD">
        <w:rPr>
          <w:rFonts w:ascii="Century Gothic" w:eastAsia="Century Gothic" w:hAnsi="Century Gothic" w:cs="Century Gothic"/>
          <w:bCs/>
          <w:sz w:val="23"/>
          <w:szCs w:val="23"/>
        </w:rPr>
        <w:t>lo anterior bajo el sustento en la siguiente:</w:t>
      </w:r>
    </w:p>
    <w:p w14:paraId="53A85E5E" w14:textId="77777777" w:rsidR="007056AD" w:rsidRDefault="007056AD" w:rsidP="007056AD">
      <w:pPr>
        <w:spacing w:after="120" w:line="360" w:lineRule="auto"/>
        <w:ind w:left="720"/>
        <w:jc w:val="center"/>
        <w:rPr>
          <w:rFonts w:ascii="Century Gothic" w:eastAsia="Century Gothic" w:hAnsi="Century Gothic" w:cs="Century Gothic"/>
          <w:b/>
          <w:sz w:val="23"/>
          <w:szCs w:val="23"/>
        </w:rPr>
      </w:pPr>
    </w:p>
    <w:p w14:paraId="5214E20C" w14:textId="5EFAB96C" w:rsidR="000004E5" w:rsidRPr="000004E5" w:rsidRDefault="00247CE1" w:rsidP="007056AD">
      <w:pPr>
        <w:spacing w:after="120" w:line="360" w:lineRule="auto"/>
        <w:ind w:left="720"/>
        <w:jc w:val="center"/>
        <w:rPr>
          <w:rFonts w:ascii="Century Gothic" w:eastAsia="Century Gothic" w:hAnsi="Century Gothic" w:cs="Century Gothic"/>
          <w:b/>
          <w:sz w:val="23"/>
          <w:szCs w:val="23"/>
        </w:rPr>
      </w:pPr>
      <w:r w:rsidRPr="000004E5">
        <w:rPr>
          <w:rFonts w:ascii="Century Gothic" w:eastAsia="Century Gothic" w:hAnsi="Century Gothic" w:cs="Century Gothic"/>
          <w:b/>
          <w:sz w:val="23"/>
          <w:szCs w:val="23"/>
        </w:rPr>
        <w:t>EXPOSICIÓN DE MOTIVOS</w:t>
      </w:r>
    </w:p>
    <w:p w14:paraId="383B52FC" w14:textId="4F474A66" w:rsidR="007056AD" w:rsidRPr="007056AD" w:rsidRDefault="007056AD" w:rsidP="007056AD">
      <w:pPr>
        <w:spacing w:afterLines="80" w:after="192" w:line="360" w:lineRule="auto"/>
        <w:ind w:left="709"/>
        <w:jc w:val="both"/>
        <w:rPr>
          <w:rFonts w:ascii="Century Gothic" w:hAnsi="Century Gothic" w:cstheme="minorHAnsi"/>
          <w:sz w:val="23"/>
          <w:szCs w:val="23"/>
          <w:shd w:val="clear" w:color="auto" w:fill="FFFFFF"/>
        </w:rPr>
      </w:pPr>
      <w:r w:rsidRPr="007056AD">
        <w:rPr>
          <w:rFonts w:ascii="Century Gothic" w:hAnsi="Century Gothic" w:cstheme="minorHAnsi"/>
          <w:sz w:val="23"/>
          <w:szCs w:val="23"/>
        </w:rPr>
        <w:t xml:space="preserve">La perspectiva </w:t>
      </w:r>
      <w:r w:rsidRPr="00C24132">
        <w:rPr>
          <w:rFonts w:ascii="Century Gothic" w:hAnsi="Century Gothic" w:cstheme="minorHAnsi"/>
          <w:sz w:val="23"/>
          <w:szCs w:val="23"/>
        </w:rPr>
        <w:t>de género es</w:t>
      </w:r>
      <w:r w:rsidR="00C24132" w:rsidRPr="00C24132">
        <w:rPr>
          <w:rFonts w:ascii="Century Gothic" w:hAnsi="Century Gothic" w:cstheme="minorHAnsi"/>
          <w:sz w:val="23"/>
          <w:szCs w:val="23"/>
        </w:rPr>
        <w:t xml:space="preserve"> una metodología</w:t>
      </w:r>
      <w:r w:rsidRPr="00C24132">
        <w:rPr>
          <w:rFonts w:ascii="Century Gothic" w:hAnsi="Century Gothic" w:cstheme="minorHAnsi"/>
          <w:sz w:val="23"/>
          <w:szCs w:val="23"/>
        </w:rPr>
        <w:t xml:space="preserve"> que sirve para</w:t>
      </w:r>
      <w:r w:rsidRPr="00C24132">
        <w:rPr>
          <w:rFonts w:ascii="Century Gothic" w:hAnsi="Century Gothic" w:cstheme="minorHAnsi"/>
          <w:b/>
          <w:bCs/>
          <w:sz w:val="23"/>
          <w:szCs w:val="23"/>
        </w:rPr>
        <w:t xml:space="preserve"> </w:t>
      </w:r>
      <w:r w:rsidR="00C24132" w:rsidRPr="00C24132">
        <w:rPr>
          <w:rStyle w:val="Textoennegrita"/>
          <w:rFonts w:ascii="Century Gothic" w:hAnsi="Century Gothic"/>
          <w:b w:val="0"/>
          <w:bCs w:val="0"/>
          <w:sz w:val="23"/>
          <w:szCs w:val="23"/>
          <w:shd w:val="clear" w:color="auto" w:fill="FFFFFF"/>
        </w:rPr>
        <w:t>identificar, cuestionar y valorar la discriminación, desigualdad y exclusión de las mujeres</w:t>
      </w:r>
      <w:r w:rsidRPr="00C24132">
        <w:rPr>
          <w:rFonts w:ascii="Century Gothic" w:hAnsi="Century Gothic" w:cstheme="minorHAnsi"/>
          <w:b/>
          <w:bCs/>
          <w:sz w:val="23"/>
          <w:szCs w:val="23"/>
        </w:rPr>
        <w:t>.</w:t>
      </w:r>
      <w:r w:rsidRPr="00C24132">
        <w:rPr>
          <w:rFonts w:ascii="Century Gothic" w:hAnsi="Century Gothic" w:cstheme="minorHAnsi"/>
          <w:sz w:val="23"/>
          <w:szCs w:val="23"/>
        </w:rPr>
        <w:t xml:space="preserve">  En el campo </w:t>
      </w:r>
      <w:r w:rsidRPr="007056AD">
        <w:rPr>
          <w:rFonts w:ascii="Century Gothic" w:hAnsi="Century Gothic" w:cstheme="minorHAnsi"/>
          <w:sz w:val="23"/>
          <w:szCs w:val="23"/>
        </w:rPr>
        <w:t>de la impartición de justicia las y los jueces deben considerar la posición de desigualdad en la que podría</w:t>
      </w:r>
      <w:r>
        <w:rPr>
          <w:rFonts w:ascii="Century Gothic" w:hAnsi="Century Gothic" w:cstheme="minorHAnsi"/>
          <w:sz w:val="23"/>
          <w:szCs w:val="23"/>
        </w:rPr>
        <w:t xml:space="preserve">n </w:t>
      </w:r>
      <w:r w:rsidRPr="007056AD">
        <w:rPr>
          <w:rFonts w:ascii="Century Gothic" w:hAnsi="Century Gothic" w:cstheme="minorHAnsi"/>
          <w:sz w:val="23"/>
          <w:szCs w:val="23"/>
        </w:rPr>
        <w:t xml:space="preserve">encontrarse las mujeres víctimas.  </w:t>
      </w:r>
      <w:r w:rsidRPr="007056AD">
        <w:rPr>
          <w:rFonts w:ascii="Century Gothic" w:hAnsi="Century Gothic" w:cstheme="minorHAnsi"/>
          <w:sz w:val="23"/>
          <w:szCs w:val="23"/>
          <w:shd w:val="clear" w:color="auto" w:fill="FFFFFF"/>
        </w:rPr>
        <w:t xml:space="preserve">La perspectiva de género permite a los juzgadores ver </w:t>
      </w:r>
      <w:r w:rsidRPr="007056AD">
        <w:rPr>
          <w:rFonts w:ascii="Century Gothic" w:hAnsi="Century Gothic" w:cstheme="minorHAnsi"/>
          <w:sz w:val="23"/>
          <w:szCs w:val="23"/>
          <w:shd w:val="clear" w:color="auto" w:fill="FFFFFF"/>
        </w:rPr>
        <w:lastRenderedPageBreak/>
        <w:t>los hechos con “otros ojos”, unos ojos que comprendan las dinámicas sistemáticas de violencia de género.</w:t>
      </w:r>
    </w:p>
    <w:p w14:paraId="1E4385A6" w14:textId="25DF1C6B" w:rsidR="007056AD" w:rsidRP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 xml:space="preserve">Lamentablemente, la realidad es que en muchos casos los jueces no siguen los protocolos o lineamientos emitidos para juzgar con perspectiva de género. Los jueces siguen </w:t>
      </w:r>
      <w:r w:rsidR="00C24132">
        <w:rPr>
          <w:rFonts w:ascii="Century Gothic" w:hAnsi="Century Gothic" w:cstheme="minorHAnsi"/>
          <w:sz w:val="23"/>
          <w:szCs w:val="23"/>
        </w:rPr>
        <w:t>resolviendo</w:t>
      </w:r>
      <w:r w:rsidRPr="007056AD">
        <w:rPr>
          <w:rFonts w:ascii="Century Gothic" w:hAnsi="Century Gothic" w:cstheme="minorHAnsi"/>
          <w:sz w:val="23"/>
          <w:szCs w:val="23"/>
        </w:rPr>
        <w:t xml:space="preserve"> bajo estereotipos y prácticas discriminatorias arraigadas en nuestra cultura machista</w:t>
      </w:r>
      <w:r w:rsidR="00066898">
        <w:rPr>
          <w:rStyle w:val="Refdenotaalpie"/>
          <w:rFonts w:ascii="Century Gothic" w:hAnsi="Century Gothic" w:cstheme="minorHAnsi"/>
          <w:sz w:val="23"/>
          <w:szCs w:val="23"/>
        </w:rPr>
        <w:footnoteReference w:id="1"/>
      </w:r>
      <w:r w:rsidRPr="007056AD">
        <w:rPr>
          <w:rFonts w:ascii="Century Gothic" w:hAnsi="Century Gothic" w:cstheme="minorHAnsi"/>
          <w:sz w:val="23"/>
          <w:szCs w:val="23"/>
        </w:rPr>
        <w:t xml:space="preserve">.  A diario, se </w:t>
      </w:r>
      <w:r w:rsidR="00C24132">
        <w:rPr>
          <w:rFonts w:ascii="Century Gothic" w:hAnsi="Century Gothic" w:cstheme="minorHAnsi"/>
          <w:sz w:val="23"/>
          <w:szCs w:val="23"/>
        </w:rPr>
        <w:t xml:space="preserve">dan a conocer casos </w:t>
      </w:r>
      <w:r w:rsidRPr="007056AD">
        <w:rPr>
          <w:rFonts w:ascii="Century Gothic" w:hAnsi="Century Gothic" w:cstheme="minorHAnsi"/>
          <w:sz w:val="23"/>
          <w:szCs w:val="23"/>
        </w:rPr>
        <w:t>en el país y en el estado.</w:t>
      </w:r>
    </w:p>
    <w:p w14:paraId="1F6B02AE" w14:textId="77777777" w:rsidR="007056AD" w:rsidRPr="007056AD" w:rsidRDefault="007056AD" w:rsidP="007056AD">
      <w:pPr>
        <w:spacing w:afterLines="80" w:after="192" w:line="360" w:lineRule="auto"/>
        <w:ind w:left="709"/>
        <w:jc w:val="both"/>
        <w:rPr>
          <w:rFonts w:ascii="Century Gothic" w:hAnsi="Century Gothic" w:cstheme="minorHAnsi"/>
          <w:sz w:val="23"/>
          <w:szCs w:val="23"/>
          <w:shd w:val="clear" w:color="auto" w:fill="FFFFFF"/>
        </w:rPr>
      </w:pPr>
      <w:r w:rsidRPr="007056AD">
        <w:rPr>
          <w:rFonts w:ascii="Century Gothic" w:hAnsi="Century Gothic" w:cstheme="minorHAnsi"/>
          <w:sz w:val="23"/>
          <w:szCs w:val="23"/>
        </w:rPr>
        <w:t>Por ejemplo, en la etapa de vinculación a proceso, hay dos problemáticas frecuentes: la indebida reclasificación de hechos de violencia extrema como delitos de menor gravedad, y, por otro lado, la exigencia de pruebas imposibles para la acreditación del delito.</w:t>
      </w:r>
    </w:p>
    <w:p w14:paraId="67528ABA" w14:textId="61576244" w:rsidR="007056AD" w:rsidRP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 xml:space="preserve">Hay casos en los cuales los tribunales desestiman o reclasifican denuncias por violación, al considerar que </w:t>
      </w:r>
      <w:r w:rsidR="00C24132">
        <w:rPr>
          <w:rFonts w:ascii="Century Gothic" w:hAnsi="Century Gothic" w:cstheme="minorHAnsi"/>
          <w:sz w:val="23"/>
          <w:szCs w:val="23"/>
        </w:rPr>
        <w:t xml:space="preserve">del conjunto de pruebas </w:t>
      </w:r>
      <w:r w:rsidRPr="007056AD">
        <w:rPr>
          <w:rFonts w:ascii="Century Gothic" w:hAnsi="Century Gothic" w:cstheme="minorHAnsi"/>
          <w:sz w:val="23"/>
          <w:szCs w:val="23"/>
        </w:rPr>
        <w:t>no se desprende de qué manera fueron obligadas, forzadas o violentadas por parte del inculpado para efectuar la cópula, desconociendo por completo el ciclo de la violencia y la indefensión aprendida que forman parte de relaciones de subordinación</w:t>
      </w:r>
      <w:r w:rsidR="00066898">
        <w:rPr>
          <w:rStyle w:val="Refdenotaalpie"/>
          <w:rFonts w:ascii="Century Gothic" w:hAnsi="Century Gothic" w:cstheme="minorHAnsi"/>
          <w:sz w:val="23"/>
          <w:szCs w:val="23"/>
        </w:rPr>
        <w:footnoteReference w:id="2"/>
      </w:r>
      <w:r w:rsidRPr="007056AD">
        <w:rPr>
          <w:rFonts w:ascii="Century Gothic" w:hAnsi="Century Gothic" w:cstheme="minorHAnsi"/>
          <w:sz w:val="23"/>
          <w:szCs w:val="23"/>
        </w:rPr>
        <w:t>.</w:t>
      </w:r>
    </w:p>
    <w:p w14:paraId="64A0E047" w14:textId="34E1AED4" w:rsidR="007056AD" w:rsidRP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La segunda problemática consiste en hacer exigencias probatorias injustificadas, como sucede cuando se exige a las fiscalías que obtengan elementos objetivos que corroboren el dicho de una mujer víctima de violencia sexual o familiar, cuando en</w:t>
      </w:r>
      <w:r w:rsidR="00C24132">
        <w:rPr>
          <w:rFonts w:ascii="Century Gothic" w:hAnsi="Century Gothic" w:cstheme="minorHAnsi"/>
          <w:sz w:val="23"/>
          <w:szCs w:val="23"/>
        </w:rPr>
        <w:t xml:space="preserve"> la mayoría de</w:t>
      </w:r>
      <w:r w:rsidRPr="007056AD">
        <w:rPr>
          <w:rFonts w:ascii="Century Gothic" w:hAnsi="Century Gothic" w:cstheme="minorHAnsi"/>
          <w:sz w:val="23"/>
          <w:szCs w:val="23"/>
        </w:rPr>
        <w:t xml:space="preserve"> estos casos no existe </w:t>
      </w:r>
      <w:r w:rsidRPr="007056AD">
        <w:rPr>
          <w:rFonts w:ascii="Century Gothic" w:hAnsi="Century Gothic" w:cstheme="minorHAnsi"/>
          <w:sz w:val="23"/>
          <w:szCs w:val="23"/>
        </w:rPr>
        <w:lastRenderedPageBreak/>
        <w:t xml:space="preserve">elemento probatorio alguno más que el testimonio de la mujer. En este sentido, es preciso destacar lo resuelto por la Suprema Corte de Justicia al pronunciarse sobre la desafortunada práctica de las autoridades judiciales de restar credibilidad a las declaraciones de las víctimas de violencias sexuales. </w:t>
      </w:r>
    </w:p>
    <w:p w14:paraId="0AC8F46A" w14:textId="34895F28" w:rsidR="007056AD" w:rsidRP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La Primera Sala estableció, de manera contundente, que en estos casos se debe considerar que los delitos sexuales son un tipo de agresión que, en general, se producen en ausencia de otras personas, por lo que requieren medios de prueba distintos de otras conductas. En ese sentido, no se puede esperar la existencia de pruebas gráficas o documentales del hecho, sino que la declaración de la víctima constituye una prueba fundamental</w:t>
      </w:r>
      <w:r w:rsidR="00066898">
        <w:rPr>
          <w:rStyle w:val="Refdenotaalpie"/>
          <w:rFonts w:ascii="Century Gothic" w:hAnsi="Century Gothic" w:cstheme="minorHAnsi"/>
          <w:sz w:val="23"/>
          <w:szCs w:val="23"/>
        </w:rPr>
        <w:footnoteReference w:id="3"/>
      </w:r>
      <w:r w:rsidR="00E017BC">
        <w:rPr>
          <w:rFonts w:ascii="Century Gothic" w:hAnsi="Century Gothic" w:cstheme="minorHAnsi"/>
          <w:sz w:val="23"/>
          <w:szCs w:val="23"/>
        </w:rPr>
        <w:t xml:space="preserve">. </w:t>
      </w:r>
      <w:r w:rsidRPr="007056AD">
        <w:rPr>
          <w:rFonts w:ascii="Century Gothic" w:hAnsi="Century Gothic" w:cstheme="minorHAnsi"/>
          <w:sz w:val="23"/>
          <w:szCs w:val="23"/>
        </w:rPr>
        <w:t>Además, se debe tener en cuenta la naturaleza traumática de los actos de violencia sexual.</w:t>
      </w:r>
    </w:p>
    <w:p w14:paraId="03B99DDB" w14:textId="77777777" w:rsidR="00E017BC"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También hay otros criterios, que</w:t>
      </w:r>
      <w:r>
        <w:rPr>
          <w:rFonts w:ascii="Century Gothic" w:hAnsi="Century Gothic" w:cstheme="minorHAnsi"/>
          <w:sz w:val="23"/>
          <w:szCs w:val="23"/>
        </w:rPr>
        <w:t xml:space="preserve"> se están obviando y</w:t>
      </w:r>
      <w:r w:rsidRPr="007056AD">
        <w:rPr>
          <w:rFonts w:ascii="Century Gothic" w:hAnsi="Century Gothic" w:cstheme="minorHAnsi"/>
          <w:sz w:val="23"/>
          <w:szCs w:val="23"/>
        </w:rPr>
        <w:t xml:space="preserve"> </w:t>
      </w:r>
      <w:r>
        <w:rPr>
          <w:rFonts w:ascii="Century Gothic" w:hAnsi="Century Gothic" w:cstheme="minorHAnsi"/>
          <w:sz w:val="23"/>
          <w:szCs w:val="23"/>
        </w:rPr>
        <w:t>que</w:t>
      </w:r>
      <w:r w:rsidRPr="007056AD">
        <w:rPr>
          <w:rFonts w:ascii="Century Gothic" w:hAnsi="Century Gothic" w:cstheme="minorHAnsi"/>
          <w:sz w:val="23"/>
          <w:szCs w:val="23"/>
        </w:rPr>
        <w:t xml:space="preserve"> establece</w:t>
      </w:r>
      <w:r>
        <w:rPr>
          <w:rFonts w:ascii="Century Gothic" w:hAnsi="Century Gothic" w:cstheme="minorHAnsi"/>
          <w:sz w:val="23"/>
          <w:szCs w:val="23"/>
        </w:rPr>
        <w:t>n</w:t>
      </w:r>
      <w:r w:rsidRPr="007056AD">
        <w:rPr>
          <w:rFonts w:ascii="Century Gothic" w:hAnsi="Century Gothic" w:cstheme="minorHAnsi"/>
          <w:sz w:val="23"/>
          <w:szCs w:val="23"/>
        </w:rPr>
        <w:t xml:space="preserve"> que</w:t>
      </w:r>
      <w:r w:rsidR="00E017BC">
        <w:rPr>
          <w:rFonts w:ascii="Century Gothic" w:hAnsi="Century Gothic" w:cstheme="minorHAnsi"/>
          <w:sz w:val="23"/>
          <w:szCs w:val="23"/>
        </w:rPr>
        <w:t>,</w:t>
      </w:r>
      <w:r w:rsidRPr="007056AD">
        <w:rPr>
          <w:rFonts w:ascii="Century Gothic" w:hAnsi="Century Gothic" w:cstheme="minorHAnsi"/>
          <w:sz w:val="23"/>
          <w:szCs w:val="23"/>
        </w:rPr>
        <w:t xml:space="preserve"> en los casos de violación sexual, exigir a la víctima que defienda su integridad sexual a costa de poner en riesgo su vida es una exigencia irrazonable y contraria a los compromisos internacionales en la materia.</w:t>
      </w:r>
    </w:p>
    <w:p w14:paraId="5A553A35" w14:textId="350B240A" w:rsidR="007056AD" w:rsidRP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Asimismo, tampoco debe restarse credibilidad por la tardanza en la interposición de una denuncia de violencia de género. Existen diversos motivos por los que ello pudiera ocurrir</w:t>
      </w:r>
      <w:r w:rsidR="00263B05">
        <w:rPr>
          <w:rFonts w:ascii="Century Gothic" w:hAnsi="Century Gothic" w:cstheme="minorHAnsi"/>
          <w:sz w:val="23"/>
          <w:szCs w:val="23"/>
        </w:rPr>
        <w:t xml:space="preserve">: </w:t>
      </w:r>
      <w:r w:rsidRPr="007056AD">
        <w:rPr>
          <w:rFonts w:ascii="Century Gothic" w:hAnsi="Century Gothic" w:cstheme="minorHAnsi"/>
          <w:sz w:val="23"/>
          <w:szCs w:val="23"/>
        </w:rPr>
        <w:t>que no haya estado plenamente consciente de que se había cometido un delito en su contra o por la desconfianza en el sistema de procuración e impartición de justicia que en muchas ocasiones revictimiza</w:t>
      </w:r>
      <w:r w:rsidR="00263B05">
        <w:rPr>
          <w:rFonts w:ascii="Century Gothic" w:hAnsi="Century Gothic" w:cstheme="minorHAnsi"/>
          <w:sz w:val="23"/>
          <w:szCs w:val="23"/>
        </w:rPr>
        <w:t>.</w:t>
      </w:r>
    </w:p>
    <w:p w14:paraId="12A6E9D5" w14:textId="7A66CF39" w:rsidR="007056AD" w:rsidRPr="007056AD" w:rsidRDefault="007056AD" w:rsidP="007056AD">
      <w:pPr>
        <w:spacing w:afterLines="80" w:after="192" w:line="360" w:lineRule="auto"/>
        <w:ind w:left="709"/>
        <w:jc w:val="both"/>
        <w:rPr>
          <w:rFonts w:ascii="Century Gothic" w:hAnsi="Century Gothic" w:cstheme="minorHAnsi"/>
          <w:sz w:val="23"/>
          <w:szCs w:val="23"/>
        </w:rPr>
      </w:pPr>
      <w:r>
        <w:rPr>
          <w:rFonts w:ascii="Century Gothic" w:hAnsi="Century Gothic" w:cstheme="minorHAnsi"/>
          <w:sz w:val="23"/>
          <w:szCs w:val="23"/>
        </w:rPr>
        <w:lastRenderedPageBreak/>
        <w:t>Por otra parte</w:t>
      </w:r>
      <w:r w:rsidRPr="007056AD">
        <w:rPr>
          <w:rFonts w:ascii="Century Gothic" w:hAnsi="Century Gothic" w:cstheme="minorHAnsi"/>
          <w:sz w:val="23"/>
          <w:szCs w:val="23"/>
        </w:rPr>
        <w:t>, en lo que refiere a las medidas cautelares, la Corte Interamericana de Derechos Humanos ha sostenido que, ante una situación de riesgo inmediato de violencia contra las mujeres, es necesario que las autoridades</w:t>
      </w:r>
      <w:r w:rsidR="00E017BC">
        <w:rPr>
          <w:rFonts w:ascii="Century Gothic" w:hAnsi="Century Gothic" w:cstheme="minorHAnsi"/>
          <w:sz w:val="23"/>
          <w:szCs w:val="23"/>
        </w:rPr>
        <w:t xml:space="preserve"> jurisdiccionales</w:t>
      </w:r>
      <w:r w:rsidRPr="007056AD">
        <w:rPr>
          <w:rFonts w:ascii="Century Gothic" w:hAnsi="Century Gothic" w:cstheme="minorHAnsi"/>
          <w:sz w:val="23"/>
          <w:szCs w:val="23"/>
        </w:rPr>
        <w:t>, tengan la capacidad y sensibilidad para entender la gravedad de la situación. Por tanto, es indispensable actuar diligentemente para prevenir más agresiones hacia las víctimas. Los jueces deben poner en el centro las necesidades de la víctima o sobreviviente.</w:t>
      </w:r>
    </w:p>
    <w:p w14:paraId="28655D68" w14:textId="13FC8892" w:rsidR="007056AD" w:rsidRP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 xml:space="preserve">Una vez explicadas estas problemáticas, vale la pena mencionar el caso de Abril Pérez en el 2019, en el que la </w:t>
      </w:r>
      <w:r w:rsidR="00E017BC">
        <w:rPr>
          <w:rFonts w:ascii="Century Gothic" w:hAnsi="Century Gothic" w:cstheme="minorHAnsi"/>
          <w:sz w:val="23"/>
          <w:szCs w:val="23"/>
        </w:rPr>
        <w:t>F</w:t>
      </w:r>
      <w:r w:rsidRPr="007056AD">
        <w:rPr>
          <w:rFonts w:ascii="Century Gothic" w:hAnsi="Century Gothic" w:cstheme="minorHAnsi"/>
          <w:sz w:val="23"/>
          <w:szCs w:val="23"/>
        </w:rPr>
        <w:t xml:space="preserve">iscalía formuló imputación por el delito de tentativa de feminicidio en contra de su expareja, quien, entre otras agresiones, la golpeó con un bat de beisbol en la cabeza cuando dormía.  El juez de control lamentablemente consideró que no estaba suficientemente acreditado que dichas lesiones hubiesen sido con el propósito de privarla de la vida, por lo que reclasificó los hechos a “violencia familiar”. </w:t>
      </w:r>
      <w:r>
        <w:rPr>
          <w:rFonts w:ascii="Century Gothic" w:hAnsi="Century Gothic" w:cstheme="minorHAnsi"/>
          <w:sz w:val="23"/>
          <w:szCs w:val="23"/>
        </w:rPr>
        <w:t>Esto le permitió al imputado sustraerse</w:t>
      </w:r>
      <w:r w:rsidRPr="007056AD">
        <w:rPr>
          <w:rFonts w:ascii="Century Gothic" w:hAnsi="Century Gothic" w:cstheme="minorHAnsi"/>
          <w:sz w:val="23"/>
          <w:szCs w:val="23"/>
        </w:rPr>
        <w:t xml:space="preserve"> de la acción de la justicia, tras una determinación que revocó la prisión preventiva que</w:t>
      </w:r>
      <w:r>
        <w:rPr>
          <w:rFonts w:ascii="Century Gothic" w:hAnsi="Century Gothic" w:cstheme="minorHAnsi"/>
          <w:sz w:val="23"/>
          <w:szCs w:val="23"/>
        </w:rPr>
        <w:t xml:space="preserve"> </w:t>
      </w:r>
      <w:r w:rsidRPr="007056AD">
        <w:rPr>
          <w:rFonts w:ascii="Century Gothic" w:hAnsi="Century Gothic" w:cstheme="minorHAnsi"/>
          <w:sz w:val="23"/>
          <w:szCs w:val="23"/>
        </w:rPr>
        <w:t>originalmente le fue impuesta. Poco tiempo después, Abril fue asesinada.</w:t>
      </w:r>
    </w:p>
    <w:p w14:paraId="53BD2E21" w14:textId="314B7823" w:rsidR="007056AD" w:rsidRPr="007056AD" w:rsidRDefault="007056AD" w:rsidP="007056AD">
      <w:pPr>
        <w:spacing w:afterLines="80" w:after="192" w:line="360" w:lineRule="auto"/>
        <w:ind w:left="709"/>
        <w:jc w:val="both"/>
        <w:rPr>
          <w:rFonts w:ascii="Century Gothic" w:hAnsi="Century Gothic" w:cstheme="minorHAnsi"/>
          <w:b/>
          <w:bCs/>
          <w:sz w:val="23"/>
          <w:szCs w:val="23"/>
          <w:shd w:val="clear" w:color="auto" w:fill="FFFFFF"/>
        </w:rPr>
      </w:pPr>
      <w:r w:rsidRPr="007056AD">
        <w:rPr>
          <w:rFonts w:ascii="Century Gothic" w:hAnsi="Century Gothic" w:cstheme="minorHAnsi"/>
          <w:sz w:val="23"/>
          <w:szCs w:val="23"/>
          <w:shd w:val="clear" w:color="auto" w:fill="FFFFFF"/>
        </w:rPr>
        <w:t xml:space="preserve">Menciono también el caso de “Los Porkys” en Veracruz, en el cual un juez dejó insubsistente un auto de formal prisión que se le había dictado a un hombre acusado de pederastia, esto al considerar que </w:t>
      </w:r>
      <w:r w:rsidRPr="007056AD">
        <w:rPr>
          <w:rStyle w:val="Textoennegrita"/>
          <w:rFonts w:ascii="Century Gothic" w:hAnsi="Century Gothic" w:cstheme="minorHAnsi"/>
          <w:b w:val="0"/>
          <w:bCs w:val="0"/>
          <w:sz w:val="23"/>
          <w:szCs w:val="23"/>
          <w:shd w:val="clear" w:color="auto" w:fill="FFFFFF"/>
        </w:rPr>
        <w:t xml:space="preserve">la víctima no se encontraba indefensa y que no se había demostrado </w:t>
      </w:r>
      <w:r w:rsidR="00E017BC">
        <w:rPr>
          <w:rStyle w:val="Textoennegrita"/>
          <w:rFonts w:ascii="Century Gothic" w:hAnsi="Century Gothic" w:cstheme="minorHAnsi"/>
          <w:b w:val="0"/>
          <w:bCs w:val="0"/>
          <w:sz w:val="23"/>
          <w:szCs w:val="23"/>
          <w:shd w:val="clear" w:color="auto" w:fill="FFFFFF"/>
        </w:rPr>
        <w:t>el carácter</w:t>
      </w:r>
      <w:r w:rsidRPr="007056AD">
        <w:rPr>
          <w:rStyle w:val="Textoennegrita"/>
          <w:rFonts w:ascii="Century Gothic" w:hAnsi="Century Gothic" w:cstheme="minorHAnsi"/>
          <w:b w:val="0"/>
          <w:bCs w:val="0"/>
          <w:sz w:val="23"/>
          <w:szCs w:val="23"/>
          <w:shd w:val="clear" w:color="auto" w:fill="FFFFFF"/>
        </w:rPr>
        <w:t xml:space="preserve"> lascivo de los tocamientos del</w:t>
      </w:r>
      <w:r w:rsidR="00E017BC">
        <w:rPr>
          <w:rStyle w:val="Textoennegrita"/>
          <w:rFonts w:ascii="Century Gothic" w:hAnsi="Century Gothic" w:cstheme="minorHAnsi"/>
          <w:b w:val="0"/>
          <w:bCs w:val="0"/>
          <w:sz w:val="23"/>
          <w:szCs w:val="23"/>
          <w:shd w:val="clear" w:color="auto" w:fill="FFFFFF"/>
        </w:rPr>
        <w:t xml:space="preserve"> abusador</w:t>
      </w:r>
      <w:r w:rsidRPr="007056AD">
        <w:rPr>
          <w:rStyle w:val="Textoennegrita"/>
          <w:rFonts w:ascii="Century Gothic" w:hAnsi="Century Gothic" w:cstheme="minorHAnsi"/>
          <w:b w:val="0"/>
          <w:bCs w:val="0"/>
          <w:sz w:val="23"/>
          <w:szCs w:val="23"/>
          <w:shd w:val="clear" w:color="auto" w:fill="FFFFFF"/>
        </w:rPr>
        <w:t xml:space="preserve">; aun cuando la víctima se encontraba encerrada en un automóvil con </w:t>
      </w:r>
      <w:r w:rsidR="00E017BC">
        <w:rPr>
          <w:rStyle w:val="Textoennegrita"/>
          <w:rFonts w:ascii="Century Gothic" w:hAnsi="Century Gothic" w:cstheme="minorHAnsi"/>
          <w:b w:val="0"/>
          <w:bCs w:val="0"/>
          <w:sz w:val="23"/>
          <w:szCs w:val="23"/>
          <w:shd w:val="clear" w:color="auto" w:fill="FFFFFF"/>
        </w:rPr>
        <w:t>dos</w:t>
      </w:r>
      <w:r w:rsidRPr="007056AD">
        <w:rPr>
          <w:rStyle w:val="Textoennegrita"/>
          <w:rFonts w:ascii="Century Gothic" w:hAnsi="Century Gothic" w:cstheme="minorHAnsi"/>
          <w:b w:val="0"/>
          <w:bCs w:val="0"/>
          <w:sz w:val="23"/>
          <w:szCs w:val="23"/>
          <w:shd w:val="clear" w:color="auto" w:fill="FFFFFF"/>
        </w:rPr>
        <w:t xml:space="preserve"> atacante</w:t>
      </w:r>
      <w:r w:rsidR="00E017BC">
        <w:rPr>
          <w:rStyle w:val="Textoennegrita"/>
          <w:rFonts w:ascii="Century Gothic" w:hAnsi="Century Gothic" w:cstheme="minorHAnsi"/>
          <w:b w:val="0"/>
          <w:bCs w:val="0"/>
          <w:sz w:val="23"/>
          <w:szCs w:val="23"/>
          <w:shd w:val="clear" w:color="auto" w:fill="FFFFFF"/>
        </w:rPr>
        <w:t>s más.</w:t>
      </w:r>
    </w:p>
    <w:p w14:paraId="1B9F8F8B" w14:textId="5E0F310E" w:rsidR="007056AD" w:rsidRPr="007056AD" w:rsidRDefault="00C24132" w:rsidP="007056AD">
      <w:pPr>
        <w:spacing w:afterLines="80" w:after="192" w:line="360" w:lineRule="auto"/>
        <w:ind w:left="709"/>
        <w:jc w:val="both"/>
        <w:rPr>
          <w:rFonts w:ascii="Century Gothic" w:hAnsi="Century Gothic" w:cstheme="minorHAnsi"/>
          <w:sz w:val="23"/>
          <w:szCs w:val="23"/>
          <w:shd w:val="clear" w:color="auto" w:fill="FFFFFF"/>
        </w:rPr>
      </w:pPr>
      <w:r>
        <w:rPr>
          <w:rFonts w:ascii="Century Gothic" w:hAnsi="Century Gothic" w:cstheme="minorHAnsi"/>
          <w:sz w:val="23"/>
          <w:szCs w:val="23"/>
        </w:rPr>
        <w:t>Justo esta semana en la ciudad de Chihuahua se dio a conocer un</w:t>
      </w:r>
      <w:r w:rsidR="007056AD" w:rsidRPr="007056AD">
        <w:rPr>
          <w:rFonts w:ascii="Century Gothic" w:hAnsi="Century Gothic" w:cstheme="minorHAnsi"/>
          <w:sz w:val="23"/>
          <w:szCs w:val="23"/>
        </w:rPr>
        <w:t xml:space="preserve"> caso </w:t>
      </w:r>
      <w:r w:rsidR="00263B05">
        <w:rPr>
          <w:rFonts w:ascii="Century Gothic" w:hAnsi="Century Gothic" w:cstheme="minorHAnsi"/>
          <w:sz w:val="23"/>
          <w:szCs w:val="23"/>
        </w:rPr>
        <w:t>donde también se observa una</w:t>
      </w:r>
      <w:r w:rsidR="00E017BC">
        <w:rPr>
          <w:rFonts w:ascii="Century Gothic" w:hAnsi="Century Gothic" w:cstheme="minorHAnsi"/>
          <w:sz w:val="23"/>
          <w:szCs w:val="23"/>
        </w:rPr>
        <w:t xml:space="preserve"> ausencia </w:t>
      </w:r>
      <w:r w:rsidR="007056AD" w:rsidRPr="007056AD">
        <w:rPr>
          <w:rFonts w:ascii="Century Gothic" w:hAnsi="Century Gothic" w:cstheme="minorHAnsi"/>
          <w:sz w:val="23"/>
          <w:szCs w:val="23"/>
        </w:rPr>
        <w:t xml:space="preserve">de perspectiva de género. Un hombre fue acusado por tres menores sobre hechos ocurridos entre 2017 y 2018: un caso por abuso sexual, otro por hostigamiento sexual y otro por violación. El presunto victimario únicamente fue vinculado a proceso por el caso de abuso sexual, por lo que </w:t>
      </w:r>
      <w:r w:rsidR="007056AD" w:rsidRPr="007056AD">
        <w:rPr>
          <w:rFonts w:ascii="Century Gothic" w:hAnsi="Century Gothic" w:cstheme="minorHAnsi"/>
          <w:sz w:val="23"/>
          <w:szCs w:val="23"/>
          <w:shd w:val="clear" w:color="auto" w:fill="FFFFFF"/>
        </w:rPr>
        <w:t>el juez de control no dictó prisión preventiva.</w:t>
      </w:r>
      <w:r w:rsidR="007056AD" w:rsidRPr="007056AD">
        <w:rPr>
          <w:rFonts w:ascii="Century Gothic" w:hAnsi="Century Gothic" w:cstheme="minorHAnsi"/>
          <w:sz w:val="23"/>
          <w:szCs w:val="23"/>
        </w:rPr>
        <w:t xml:space="preserve"> </w:t>
      </w:r>
      <w:r w:rsidR="007056AD" w:rsidRPr="007056AD">
        <w:rPr>
          <w:rFonts w:ascii="Century Gothic" w:hAnsi="Century Gothic" w:cstheme="minorHAnsi"/>
          <w:sz w:val="23"/>
          <w:szCs w:val="23"/>
          <w:shd w:val="clear" w:color="auto" w:fill="FFFFFF"/>
        </w:rPr>
        <w:t> </w:t>
      </w:r>
      <w:r w:rsidR="00E017BC">
        <w:rPr>
          <w:rFonts w:ascii="Century Gothic" w:hAnsi="Century Gothic" w:cstheme="minorHAnsi"/>
          <w:sz w:val="23"/>
          <w:szCs w:val="23"/>
          <w:shd w:val="clear" w:color="auto" w:fill="FFFFFF"/>
        </w:rPr>
        <w:t>E</w:t>
      </w:r>
      <w:r w:rsidR="007056AD" w:rsidRPr="007056AD">
        <w:rPr>
          <w:rFonts w:ascii="Century Gothic" w:hAnsi="Century Gothic" w:cstheme="minorHAnsi"/>
          <w:sz w:val="23"/>
          <w:szCs w:val="23"/>
          <w:shd w:val="clear" w:color="auto" w:fill="FFFFFF"/>
        </w:rPr>
        <w:t>l caso de la presunta violación</w:t>
      </w:r>
      <w:r w:rsidR="007056AD">
        <w:rPr>
          <w:rFonts w:ascii="Century Gothic" w:hAnsi="Century Gothic" w:cstheme="minorHAnsi"/>
          <w:sz w:val="23"/>
          <w:szCs w:val="23"/>
          <w:shd w:val="clear" w:color="auto" w:fill="FFFFFF"/>
        </w:rPr>
        <w:t xml:space="preserve"> sexual</w:t>
      </w:r>
      <w:r w:rsidR="007056AD" w:rsidRPr="007056AD">
        <w:rPr>
          <w:rFonts w:ascii="Century Gothic" w:hAnsi="Century Gothic" w:cstheme="minorHAnsi"/>
          <w:sz w:val="23"/>
          <w:szCs w:val="23"/>
          <w:shd w:val="clear" w:color="auto" w:fill="FFFFFF"/>
        </w:rPr>
        <w:t xml:space="preserve"> fue desestimado, ya que el juez señaló que la menor no se defendió y no pidió auxilio. </w:t>
      </w:r>
    </w:p>
    <w:p w14:paraId="53527C05" w14:textId="77777777" w:rsidR="007056AD" w:rsidRPr="007056AD" w:rsidRDefault="007056AD" w:rsidP="007056AD">
      <w:pPr>
        <w:spacing w:afterLines="80" w:after="192" w:line="360" w:lineRule="auto"/>
        <w:ind w:left="709"/>
        <w:jc w:val="both"/>
        <w:rPr>
          <w:rFonts w:ascii="Century Gothic" w:hAnsi="Century Gothic" w:cstheme="minorHAnsi"/>
          <w:sz w:val="23"/>
          <w:szCs w:val="23"/>
          <w:shd w:val="clear" w:color="auto" w:fill="FFFFFF"/>
        </w:rPr>
      </w:pPr>
      <w:r w:rsidRPr="007056AD">
        <w:rPr>
          <w:rFonts w:ascii="Century Gothic" w:hAnsi="Century Gothic" w:cstheme="minorHAnsi"/>
          <w:sz w:val="23"/>
          <w:szCs w:val="23"/>
          <w:shd w:val="clear" w:color="auto" w:fill="FFFFFF"/>
        </w:rPr>
        <w:t>De acuerdo con comunicado de la Fiscalía, se interpondrá un recurso de apelación, en apego a los protocolos y estándares internacionales sobre derechos de las víctimas del delito, bajo enfoque de adolescencia y género. Debemos estar atentos a la resolución de dicha apelación.</w:t>
      </w:r>
    </w:p>
    <w:p w14:paraId="1E6CB252" w14:textId="58B86807" w:rsidR="007056AD" w:rsidRPr="007056AD" w:rsidRDefault="007056AD" w:rsidP="007056AD">
      <w:pPr>
        <w:spacing w:afterLines="80" w:after="192" w:line="360" w:lineRule="auto"/>
        <w:ind w:left="709"/>
        <w:jc w:val="both"/>
        <w:rPr>
          <w:rFonts w:ascii="Century Gothic" w:hAnsi="Century Gothic" w:cstheme="minorHAnsi"/>
          <w:sz w:val="23"/>
          <w:szCs w:val="23"/>
          <w:shd w:val="clear" w:color="auto" w:fill="FFFFFF"/>
        </w:rPr>
      </w:pPr>
      <w:r w:rsidRPr="007056AD">
        <w:rPr>
          <w:rFonts w:ascii="Century Gothic" w:hAnsi="Century Gothic" w:cstheme="minorHAnsi"/>
          <w:sz w:val="23"/>
          <w:szCs w:val="23"/>
        </w:rPr>
        <w:t xml:space="preserve">Es hora de acabar con </w:t>
      </w:r>
      <w:r>
        <w:rPr>
          <w:rFonts w:ascii="Century Gothic" w:hAnsi="Century Gothic" w:cstheme="minorHAnsi"/>
          <w:sz w:val="23"/>
          <w:szCs w:val="23"/>
        </w:rPr>
        <w:t xml:space="preserve">la concepción interpretativa de </w:t>
      </w:r>
      <w:r w:rsidRPr="007056AD">
        <w:rPr>
          <w:rFonts w:ascii="Century Gothic" w:hAnsi="Century Gothic" w:cstheme="minorHAnsi"/>
          <w:sz w:val="23"/>
          <w:szCs w:val="23"/>
        </w:rPr>
        <w:t>que el silencio y la falta de oposición extrema es sinónimo de</w:t>
      </w:r>
      <w:r>
        <w:rPr>
          <w:rFonts w:ascii="Century Gothic" w:hAnsi="Century Gothic" w:cstheme="minorHAnsi"/>
          <w:sz w:val="23"/>
          <w:szCs w:val="23"/>
        </w:rPr>
        <w:t xml:space="preserve"> </w:t>
      </w:r>
      <w:r w:rsidRPr="007056AD">
        <w:rPr>
          <w:rFonts w:ascii="Century Gothic" w:hAnsi="Century Gothic" w:cstheme="minorHAnsi"/>
          <w:sz w:val="23"/>
          <w:szCs w:val="23"/>
        </w:rPr>
        <w:t>consentimiento</w:t>
      </w:r>
      <w:r>
        <w:rPr>
          <w:rFonts w:ascii="Century Gothic" w:hAnsi="Century Gothic" w:cstheme="minorHAnsi"/>
          <w:sz w:val="23"/>
          <w:szCs w:val="23"/>
        </w:rPr>
        <w:t xml:space="preserve"> o de</w:t>
      </w:r>
      <w:r w:rsidRPr="007056AD">
        <w:rPr>
          <w:rFonts w:ascii="Century Gothic" w:hAnsi="Century Gothic" w:cstheme="minorHAnsi"/>
          <w:sz w:val="23"/>
          <w:szCs w:val="23"/>
        </w:rPr>
        <w:t xml:space="preserve"> ausencia de una agresión sexual</w:t>
      </w:r>
      <w:r>
        <w:rPr>
          <w:rFonts w:ascii="Century Gothic" w:hAnsi="Century Gothic" w:cstheme="minorHAnsi"/>
          <w:sz w:val="23"/>
          <w:szCs w:val="23"/>
        </w:rPr>
        <w:t>.</w:t>
      </w:r>
    </w:p>
    <w:p w14:paraId="2EE3110C" w14:textId="77777777" w:rsidR="00263B05"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 xml:space="preserve">Los juzgadores deben ser capacitados para entender que no se trata de analizar en abstracto las conductas establecidas en los tipos penales, sino que deben comprender las circunstancias de desigualdad desde una visión interseccional. </w:t>
      </w:r>
    </w:p>
    <w:p w14:paraId="78EF56A9" w14:textId="07D9C566" w:rsidR="007056AD" w:rsidRDefault="007056AD" w:rsidP="007056AD">
      <w:pPr>
        <w:spacing w:afterLines="80" w:after="192" w:line="360" w:lineRule="auto"/>
        <w:ind w:left="709"/>
        <w:jc w:val="both"/>
        <w:rPr>
          <w:rFonts w:ascii="Century Gothic" w:hAnsi="Century Gothic" w:cstheme="minorHAnsi"/>
          <w:sz w:val="23"/>
          <w:szCs w:val="23"/>
        </w:rPr>
      </w:pPr>
      <w:r w:rsidRPr="007056AD">
        <w:rPr>
          <w:rFonts w:ascii="Century Gothic" w:hAnsi="Century Gothic" w:cstheme="minorHAnsi"/>
          <w:sz w:val="23"/>
          <w:szCs w:val="23"/>
        </w:rPr>
        <w:t>Juzgar con perspectiva de género no es un “beneficio” para las mujeres, ni una renuncia a las garantías procesales o los estándares de prueba característicos de cada etapa procesal. Se trata de generar condiciones de igualdad en contextos de discriminación estructural.</w:t>
      </w:r>
    </w:p>
    <w:p w14:paraId="48768F54" w14:textId="3E276E4D" w:rsidR="00C24132" w:rsidRPr="00C24132" w:rsidRDefault="00C24132" w:rsidP="00C24132">
      <w:pPr>
        <w:spacing w:afterLines="80" w:after="192" w:line="360" w:lineRule="auto"/>
        <w:ind w:left="709"/>
        <w:jc w:val="both"/>
        <w:rPr>
          <w:rFonts w:ascii="Century Gothic" w:hAnsi="Century Gothic"/>
          <w:sz w:val="23"/>
          <w:szCs w:val="23"/>
        </w:rPr>
      </w:pPr>
      <w:r w:rsidRPr="00C24132">
        <w:rPr>
          <w:rFonts w:ascii="Century Gothic" w:hAnsi="Century Gothic" w:cstheme="minorHAnsi"/>
          <w:sz w:val="23"/>
          <w:szCs w:val="23"/>
        </w:rPr>
        <w:t>Es responsabilidad del Poder Judicial del Estado mantener una constante capacitación en sus jueces y juezas, para que no sigan resolviéndose asuntos sin dicha perspectiva, y así pueda haber justicia hacia las mujeres y niñas víctimas en Chihuahua.</w:t>
      </w:r>
    </w:p>
    <w:p w14:paraId="389C7EAE" w14:textId="1CE0D8F1" w:rsidR="00C65BE3" w:rsidRPr="00BE4AF4" w:rsidRDefault="00247CE1" w:rsidP="007056AD">
      <w:pPr>
        <w:spacing w:after="120" w:line="360" w:lineRule="auto"/>
        <w:ind w:left="720"/>
        <w:jc w:val="both"/>
        <w:rPr>
          <w:rFonts w:ascii="Century Gothic" w:hAnsi="Century Gothic"/>
          <w:sz w:val="23"/>
          <w:szCs w:val="23"/>
          <w:lang w:val="es-ES"/>
        </w:rPr>
      </w:pPr>
      <w:r w:rsidRPr="00E702B4">
        <w:rPr>
          <w:rFonts w:ascii="Century Gothic" w:hAnsi="Century Gothic"/>
          <w:sz w:val="23"/>
          <w:szCs w:val="23"/>
          <w:lang w:val="es-ES"/>
        </w:rPr>
        <w:t>En virtud de lo anteriormente expuesto, me permito someter a consideración de esta honorable asamblea, el siguiente proyecto con carácter de:</w:t>
      </w:r>
    </w:p>
    <w:p w14:paraId="7F733B8C" w14:textId="5F5B4680" w:rsidR="00247CE1" w:rsidRPr="000004E5" w:rsidRDefault="00247CE1" w:rsidP="007056AD">
      <w:pPr>
        <w:spacing w:after="120" w:line="360" w:lineRule="auto"/>
        <w:ind w:left="720"/>
        <w:jc w:val="center"/>
        <w:rPr>
          <w:rFonts w:ascii="Century Gothic" w:eastAsia="Century Gothic" w:hAnsi="Century Gothic" w:cs="Century Gothic"/>
          <w:b/>
          <w:bCs/>
          <w:sz w:val="23"/>
          <w:szCs w:val="23"/>
        </w:rPr>
      </w:pPr>
      <w:r w:rsidRPr="000004E5">
        <w:rPr>
          <w:rFonts w:ascii="Century Gothic" w:eastAsia="Century Gothic" w:hAnsi="Century Gothic" w:cs="Century Gothic"/>
          <w:b/>
          <w:bCs/>
          <w:sz w:val="23"/>
          <w:szCs w:val="23"/>
        </w:rPr>
        <w:t>ACUERDO:</w:t>
      </w:r>
    </w:p>
    <w:p w14:paraId="6EB004B7" w14:textId="4E57D699" w:rsidR="00E017BC" w:rsidRPr="00E017BC" w:rsidRDefault="00BE4AF4" w:rsidP="007056AD">
      <w:pPr>
        <w:pStyle w:val="Prrafodelista"/>
        <w:spacing w:after="120" w:line="360" w:lineRule="auto"/>
        <w:ind w:left="720"/>
        <w:jc w:val="both"/>
        <w:rPr>
          <w:rFonts w:ascii="Century Gothic" w:hAnsi="Century Gothic"/>
          <w:bCs/>
          <w:sz w:val="23"/>
          <w:szCs w:val="23"/>
        </w:rPr>
      </w:pPr>
      <w:r>
        <w:rPr>
          <w:rFonts w:ascii="Century Gothic" w:eastAsia="Century Gothic" w:hAnsi="Century Gothic" w:cs="Century Gothic"/>
          <w:b/>
          <w:sz w:val="23"/>
          <w:szCs w:val="23"/>
        </w:rPr>
        <w:t>ÚNICO</w:t>
      </w:r>
      <w:r w:rsidR="00247CE1" w:rsidRPr="000004E5">
        <w:rPr>
          <w:rFonts w:ascii="Century Gothic" w:eastAsia="Century Gothic" w:hAnsi="Century Gothic" w:cs="Century Gothic"/>
          <w:b/>
          <w:sz w:val="23"/>
          <w:szCs w:val="23"/>
        </w:rPr>
        <w:t xml:space="preserve">. </w:t>
      </w:r>
      <w:r w:rsidR="00125A9D" w:rsidRPr="000004E5">
        <w:rPr>
          <w:rFonts w:ascii="Century Gothic" w:eastAsia="Century Gothic" w:hAnsi="Century Gothic" w:cs="Century Gothic"/>
          <w:b/>
          <w:sz w:val="23"/>
          <w:szCs w:val="23"/>
        </w:rPr>
        <w:t xml:space="preserve"> </w:t>
      </w:r>
      <w:r w:rsidR="00125A9D" w:rsidRPr="00E017BC">
        <w:rPr>
          <w:rFonts w:ascii="Century Gothic" w:eastAsia="Century Gothic" w:hAnsi="Century Gothic" w:cs="Century Gothic"/>
          <w:bCs/>
          <w:sz w:val="23"/>
          <w:szCs w:val="23"/>
        </w:rPr>
        <w:t xml:space="preserve">La Sexagésima Séptima Legislatura </w:t>
      </w:r>
      <w:r w:rsidR="00125A9D" w:rsidRPr="00E017BC">
        <w:rPr>
          <w:rFonts w:ascii="Century Gothic" w:hAnsi="Century Gothic"/>
          <w:bCs/>
          <w:sz w:val="23"/>
          <w:szCs w:val="23"/>
        </w:rPr>
        <w:t>exhorta</w:t>
      </w:r>
      <w:r w:rsidR="00A557D5" w:rsidRPr="00E017BC">
        <w:rPr>
          <w:rFonts w:ascii="Century Gothic" w:hAnsi="Century Gothic"/>
          <w:bCs/>
          <w:sz w:val="23"/>
          <w:szCs w:val="23"/>
        </w:rPr>
        <w:t xml:space="preserve"> </w:t>
      </w:r>
      <w:r w:rsidR="00E017BC" w:rsidRPr="00E017BC">
        <w:rPr>
          <w:rFonts w:ascii="Century Gothic" w:hAnsi="Century Gothic"/>
          <w:bCs/>
          <w:sz w:val="23"/>
          <w:szCs w:val="23"/>
        </w:rPr>
        <w:t xml:space="preserve">al Centro de Formación y Actualización Judicial para que de manera permanente instrumente </w:t>
      </w:r>
      <w:r w:rsidR="007908F1">
        <w:rPr>
          <w:rFonts w:ascii="Century Gothic" w:hAnsi="Century Gothic"/>
          <w:bCs/>
          <w:sz w:val="23"/>
          <w:szCs w:val="23"/>
        </w:rPr>
        <w:t>capacitaciones</w:t>
      </w:r>
      <w:r w:rsidR="00E017BC" w:rsidRPr="00E017BC">
        <w:rPr>
          <w:rFonts w:ascii="Century Gothic" w:hAnsi="Century Gothic"/>
          <w:bCs/>
          <w:sz w:val="23"/>
          <w:szCs w:val="23"/>
        </w:rPr>
        <w:t xml:space="preserve"> y evaluaciones </w:t>
      </w:r>
      <w:r w:rsidR="00E017BC" w:rsidRPr="00E017BC">
        <w:rPr>
          <w:rFonts w:ascii="Arial" w:hAnsi="Arial" w:cs="Arial"/>
          <w:bCs/>
          <w:color w:val="4D5156"/>
          <w:sz w:val="23"/>
          <w:szCs w:val="23"/>
          <w:shd w:val="clear" w:color="auto" w:fill="FFFFFF"/>
        </w:rPr>
        <w:t>—</w:t>
      </w:r>
      <w:r w:rsidR="00E017BC" w:rsidRPr="00E017BC">
        <w:rPr>
          <w:rFonts w:ascii="Century Gothic" w:hAnsi="Century Gothic"/>
          <w:bCs/>
          <w:sz w:val="23"/>
          <w:szCs w:val="23"/>
        </w:rPr>
        <w:t>cuyos resultados sean públicos</w:t>
      </w:r>
      <w:r w:rsidR="00E017BC" w:rsidRPr="00E017BC">
        <w:rPr>
          <w:rFonts w:ascii="Arial" w:hAnsi="Arial" w:cs="Arial"/>
          <w:bCs/>
          <w:color w:val="4D5156"/>
          <w:sz w:val="23"/>
          <w:szCs w:val="23"/>
          <w:shd w:val="clear" w:color="auto" w:fill="FFFFFF"/>
        </w:rPr>
        <w:t>—</w:t>
      </w:r>
      <w:r w:rsidR="00E017BC" w:rsidRPr="00E017BC">
        <w:rPr>
          <w:rFonts w:ascii="Century Gothic" w:hAnsi="Century Gothic"/>
          <w:bCs/>
          <w:sz w:val="23"/>
          <w:szCs w:val="23"/>
        </w:rPr>
        <w:t>, sobre los protocolos actualizados para juzgar con perspectiva de género</w:t>
      </w:r>
      <w:r w:rsidR="00E017BC">
        <w:rPr>
          <w:rFonts w:ascii="Century Gothic" w:hAnsi="Century Gothic"/>
          <w:bCs/>
          <w:sz w:val="23"/>
          <w:szCs w:val="23"/>
        </w:rPr>
        <w:t>.</w:t>
      </w:r>
    </w:p>
    <w:p w14:paraId="29198BED" w14:textId="3402FA5E" w:rsidR="00247CE1" w:rsidRPr="00E017BC" w:rsidRDefault="00247CE1" w:rsidP="00E017BC">
      <w:pPr>
        <w:pStyle w:val="Prrafodelista"/>
        <w:spacing w:after="120" w:line="360" w:lineRule="auto"/>
        <w:ind w:left="720"/>
        <w:jc w:val="both"/>
        <w:rPr>
          <w:rFonts w:ascii="Century Gothic" w:hAnsi="Century Gothic" w:cs="Arial"/>
          <w:b/>
          <w:sz w:val="23"/>
          <w:szCs w:val="23"/>
        </w:rPr>
      </w:pPr>
      <w:r w:rsidRPr="000004E5">
        <w:rPr>
          <w:rFonts w:ascii="Century Gothic" w:hAnsi="Century Gothic" w:cs="Arial"/>
          <w:b/>
          <w:sz w:val="23"/>
          <w:szCs w:val="23"/>
        </w:rPr>
        <w:t>E</w:t>
      </w:r>
      <w:r w:rsidRPr="00E017BC">
        <w:rPr>
          <w:rFonts w:ascii="Century Gothic" w:hAnsi="Century Gothic" w:cs="Arial"/>
          <w:b/>
          <w:sz w:val="23"/>
          <w:szCs w:val="23"/>
        </w:rPr>
        <w:t xml:space="preserve">CONÓMICO. </w:t>
      </w:r>
      <w:r w:rsidRPr="00E017BC">
        <w:rPr>
          <w:rFonts w:ascii="Century Gothic" w:hAnsi="Century Gothic" w:cs="Arial"/>
          <w:sz w:val="23"/>
          <w:szCs w:val="23"/>
        </w:rPr>
        <w:t>Aprobado que sea, remítase copia del presente acuerdo, así como de la proposición que le dio origen a la autoridad antes mencionada.</w:t>
      </w:r>
    </w:p>
    <w:p w14:paraId="3E40A8B6" w14:textId="68D68640" w:rsidR="00247CE1" w:rsidRPr="00BE4AF4" w:rsidRDefault="00247CE1" w:rsidP="007056AD">
      <w:pPr>
        <w:spacing w:after="120" w:line="360" w:lineRule="auto"/>
        <w:ind w:left="720"/>
        <w:jc w:val="both"/>
        <w:rPr>
          <w:rFonts w:ascii="Century Gothic" w:eastAsia="Century Gothic" w:hAnsi="Century Gothic" w:cs="Century Gothic"/>
          <w:sz w:val="23"/>
          <w:szCs w:val="23"/>
        </w:rPr>
      </w:pPr>
      <w:r w:rsidRPr="000004E5">
        <w:rPr>
          <w:rFonts w:ascii="Century Gothic" w:eastAsia="Century Gothic" w:hAnsi="Century Gothic" w:cs="Century Gothic"/>
          <w:sz w:val="23"/>
          <w:szCs w:val="23"/>
        </w:rPr>
        <w:t xml:space="preserve">Dado en el Recinto Oficial del Congreso del Estado de Chihuahua, a los </w:t>
      </w:r>
      <w:r w:rsidR="00B53338">
        <w:rPr>
          <w:rFonts w:ascii="Century Gothic" w:eastAsia="Century Gothic" w:hAnsi="Century Gothic" w:cs="Century Gothic"/>
          <w:sz w:val="23"/>
          <w:szCs w:val="23"/>
        </w:rPr>
        <w:t xml:space="preserve">20 </w:t>
      </w:r>
      <w:r w:rsidRPr="000004E5">
        <w:rPr>
          <w:rFonts w:ascii="Century Gothic" w:eastAsia="Century Gothic" w:hAnsi="Century Gothic" w:cs="Century Gothic"/>
          <w:sz w:val="23"/>
          <w:szCs w:val="23"/>
        </w:rPr>
        <w:t xml:space="preserve">días del mes de </w:t>
      </w:r>
      <w:r w:rsidR="00125A9D" w:rsidRPr="000004E5">
        <w:rPr>
          <w:rFonts w:ascii="Century Gothic" w:eastAsia="Century Gothic" w:hAnsi="Century Gothic" w:cs="Century Gothic"/>
          <w:sz w:val="23"/>
          <w:szCs w:val="23"/>
        </w:rPr>
        <w:t>octubre</w:t>
      </w:r>
      <w:r w:rsidRPr="000004E5">
        <w:rPr>
          <w:rFonts w:ascii="Century Gothic" w:eastAsia="Century Gothic" w:hAnsi="Century Gothic" w:cs="Century Gothic"/>
          <w:sz w:val="23"/>
          <w:szCs w:val="23"/>
        </w:rPr>
        <w:t xml:space="preserve"> del 2022.</w:t>
      </w:r>
    </w:p>
    <w:p w14:paraId="264EDF54" w14:textId="77777777" w:rsidR="00C65BE3" w:rsidRPr="000004E5" w:rsidRDefault="00C65BE3" w:rsidP="007056AD">
      <w:pPr>
        <w:spacing w:after="120" w:line="360" w:lineRule="auto"/>
        <w:ind w:left="720"/>
        <w:jc w:val="both"/>
        <w:rPr>
          <w:rFonts w:ascii="Century Gothic" w:hAnsi="Century Gothic" w:cstheme="majorHAnsi"/>
          <w:b/>
          <w:sz w:val="23"/>
          <w:szCs w:val="23"/>
        </w:rPr>
      </w:pPr>
    </w:p>
    <w:p w14:paraId="2CFDD542" w14:textId="77777777" w:rsidR="00BE4AF4" w:rsidRDefault="00BE4AF4" w:rsidP="00263B05">
      <w:pPr>
        <w:spacing w:after="120" w:line="360" w:lineRule="auto"/>
        <w:rPr>
          <w:rFonts w:ascii="Century Gothic" w:hAnsi="Century Gothic" w:cstheme="majorHAnsi"/>
          <w:b/>
          <w:sz w:val="23"/>
          <w:szCs w:val="23"/>
        </w:rPr>
      </w:pPr>
    </w:p>
    <w:p w14:paraId="0A787185" w14:textId="471FE0BF" w:rsidR="00830A8B" w:rsidRPr="000004E5" w:rsidRDefault="00830A8B" w:rsidP="007056AD">
      <w:pPr>
        <w:spacing w:after="120" w:line="360" w:lineRule="auto"/>
        <w:ind w:left="720"/>
        <w:jc w:val="center"/>
        <w:rPr>
          <w:rFonts w:ascii="Century Gothic" w:hAnsi="Century Gothic" w:cstheme="majorHAnsi"/>
          <w:b/>
          <w:sz w:val="23"/>
          <w:szCs w:val="23"/>
        </w:rPr>
      </w:pPr>
      <w:r w:rsidRPr="000004E5">
        <w:rPr>
          <w:rFonts w:ascii="Century Gothic" w:hAnsi="Century Gothic" w:cstheme="majorHAnsi"/>
          <w:b/>
          <w:sz w:val="23"/>
          <w:szCs w:val="23"/>
        </w:rPr>
        <w:t>A T E N T A M E N T E</w:t>
      </w:r>
    </w:p>
    <w:p w14:paraId="60E2C28D" w14:textId="77777777" w:rsidR="00C65BE3" w:rsidRPr="000004E5" w:rsidRDefault="00C65BE3" w:rsidP="007056AD">
      <w:pPr>
        <w:spacing w:after="120" w:line="360" w:lineRule="auto"/>
        <w:rPr>
          <w:rFonts w:ascii="Century Gothic" w:eastAsiaTheme="minorHAnsi" w:hAnsi="Century Gothic" w:cstheme="majorHAnsi"/>
          <w:b/>
          <w:bCs/>
          <w:sz w:val="23"/>
          <w:szCs w:val="23"/>
          <w:lang w:eastAsia="en-US"/>
        </w:rPr>
      </w:pPr>
    </w:p>
    <w:p w14:paraId="3E90AE73" w14:textId="49EE954F" w:rsidR="00830A8B" w:rsidRPr="000004E5" w:rsidRDefault="00830A8B" w:rsidP="007056AD">
      <w:pPr>
        <w:spacing w:after="120" w:line="360" w:lineRule="auto"/>
        <w:ind w:left="720"/>
        <w:jc w:val="center"/>
        <w:rPr>
          <w:rFonts w:ascii="Century Gothic" w:eastAsiaTheme="minorHAnsi" w:hAnsi="Century Gothic" w:cstheme="majorHAnsi"/>
          <w:b/>
          <w:bCs/>
          <w:sz w:val="23"/>
          <w:szCs w:val="23"/>
          <w:lang w:eastAsia="en-US"/>
        </w:rPr>
      </w:pPr>
      <w:r w:rsidRPr="000004E5">
        <w:rPr>
          <w:rFonts w:ascii="Century Gothic" w:eastAsiaTheme="minorHAnsi" w:hAnsi="Century Gothic" w:cstheme="majorHAnsi"/>
          <w:b/>
          <w:bCs/>
          <w:sz w:val="23"/>
          <w:szCs w:val="23"/>
          <w:lang w:eastAsia="en-US"/>
        </w:rPr>
        <w:t>DIP. LETICIA ORTEGA MÁYNEZ</w:t>
      </w:r>
    </w:p>
    <w:tbl>
      <w:tblPr>
        <w:tblStyle w:val="Tablaconcuadrcula1"/>
        <w:tblpPr w:leftFromText="141" w:rightFromText="141" w:vertAnchor="text" w:horzAnchor="margin" w:tblpY="107"/>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3"/>
      </w:tblGrid>
      <w:tr w:rsidR="00C65BE3" w:rsidRPr="000004E5" w14:paraId="36B13401" w14:textId="77777777" w:rsidTr="00C65BE3">
        <w:trPr>
          <w:trHeight w:val="1640"/>
        </w:trPr>
        <w:tc>
          <w:tcPr>
            <w:tcW w:w="4443" w:type="dxa"/>
            <w:vAlign w:val="bottom"/>
          </w:tcPr>
          <w:p w14:paraId="0494F97F" w14:textId="77777777" w:rsidR="00C65BE3" w:rsidRPr="000004E5" w:rsidRDefault="00C65BE3" w:rsidP="007056AD">
            <w:pPr>
              <w:spacing w:after="120" w:line="360" w:lineRule="auto"/>
              <w:rPr>
                <w:rFonts w:ascii="Century Gothic" w:hAnsi="Century Gothic" w:cstheme="majorHAnsi"/>
                <w:b/>
                <w:bCs/>
                <w:sz w:val="23"/>
                <w:szCs w:val="23"/>
              </w:rPr>
            </w:pPr>
          </w:p>
          <w:p w14:paraId="623436AE"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p>
          <w:p w14:paraId="08229E3C"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DIP.MARIA ANTONIETA PÉREZ REYES</w:t>
            </w:r>
          </w:p>
          <w:p w14:paraId="331D224A"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p>
        </w:tc>
        <w:tc>
          <w:tcPr>
            <w:tcW w:w="4443" w:type="dxa"/>
            <w:vAlign w:val="center"/>
          </w:tcPr>
          <w:p w14:paraId="3060B872" w14:textId="77777777" w:rsidR="00BE4AF4" w:rsidRDefault="00BE4AF4" w:rsidP="007056AD">
            <w:pPr>
              <w:spacing w:after="120" w:line="360" w:lineRule="auto"/>
              <w:rPr>
                <w:rFonts w:ascii="Century Gothic" w:hAnsi="Century Gothic" w:cstheme="majorHAnsi"/>
                <w:b/>
                <w:bCs/>
                <w:sz w:val="23"/>
                <w:szCs w:val="23"/>
              </w:rPr>
            </w:pPr>
          </w:p>
          <w:p w14:paraId="798D2429" w14:textId="740CF6B0"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 ÓSCAR DANIEL AVITIA ARELLANES</w:t>
            </w:r>
          </w:p>
        </w:tc>
      </w:tr>
      <w:tr w:rsidR="00C65BE3" w:rsidRPr="000004E5" w14:paraId="5D301638" w14:textId="77777777" w:rsidTr="00C65BE3">
        <w:trPr>
          <w:trHeight w:val="1640"/>
        </w:trPr>
        <w:tc>
          <w:tcPr>
            <w:tcW w:w="4443" w:type="dxa"/>
            <w:vAlign w:val="bottom"/>
          </w:tcPr>
          <w:p w14:paraId="4724CE9F" w14:textId="081DE893"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 ROSANA DÍAZ</w:t>
            </w:r>
          </w:p>
          <w:p w14:paraId="6A1795CE"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REYES</w:t>
            </w:r>
          </w:p>
        </w:tc>
        <w:tc>
          <w:tcPr>
            <w:tcW w:w="4443" w:type="dxa"/>
            <w:vAlign w:val="bottom"/>
          </w:tcPr>
          <w:p w14:paraId="25DAFD31"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 GUSTAVO DE LA ROSA HICKERSON</w:t>
            </w:r>
          </w:p>
        </w:tc>
      </w:tr>
      <w:tr w:rsidR="00C65BE3" w:rsidRPr="000004E5" w14:paraId="1F8364D8" w14:textId="77777777" w:rsidTr="00C65BE3">
        <w:trPr>
          <w:trHeight w:val="1640"/>
        </w:trPr>
        <w:tc>
          <w:tcPr>
            <w:tcW w:w="4443" w:type="dxa"/>
            <w:vAlign w:val="bottom"/>
          </w:tcPr>
          <w:p w14:paraId="18D13EE2"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sz w:val="23"/>
                <w:szCs w:val="23"/>
              </w:rPr>
              <w:t>DIP.</w:t>
            </w:r>
            <w:r w:rsidRPr="000004E5">
              <w:rPr>
                <w:rFonts w:ascii="Century Gothic" w:eastAsia="Times New Roman" w:hAnsi="Century Gothic" w:cstheme="majorHAnsi"/>
                <w:b/>
                <w:sz w:val="23"/>
                <w:szCs w:val="23"/>
              </w:rPr>
              <w:t xml:space="preserve"> EDIN CUAUHTÉMOC ESTRADA SOTELO</w:t>
            </w:r>
          </w:p>
        </w:tc>
        <w:tc>
          <w:tcPr>
            <w:tcW w:w="4443" w:type="dxa"/>
            <w:vAlign w:val="bottom"/>
          </w:tcPr>
          <w:p w14:paraId="2E662417"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eastAsia="Times New Roman" w:hAnsi="Century Gothic" w:cstheme="majorHAnsi"/>
                <w:b/>
                <w:sz w:val="23"/>
                <w:szCs w:val="23"/>
              </w:rPr>
              <w:t>DIP. MAGDALENA RENTERÍA PÉREZ</w:t>
            </w:r>
          </w:p>
        </w:tc>
      </w:tr>
      <w:tr w:rsidR="00C65BE3" w:rsidRPr="000004E5" w14:paraId="433260BD" w14:textId="77777777" w:rsidTr="00C65BE3">
        <w:trPr>
          <w:trHeight w:val="1640"/>
        </w:trPr>
        <w:tc>
          <w:tcPr>
            <w:tcW w:w="4443" w:type="dxa"/>
            <w:vAlign w:val="bottom"/>
          </w:tcPr>
          <w:p w14:paraId="0EC067D2"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p>
          <w:p w14:paraId="207E1E66" w14:textId="77777777" w:rsidR="00C65BE3" w:rsidRPr="000004E5" w:rsidRDefault="00C65BE3" w:rsidP="007056AD">
            <w:pPr>
              <w:spacing w:after="120" w:line="360" w:lineRule="auto"/>
              <w:rPr>
                <w:rFonts w:ascii="Century Gothic" w:hAnsi="Century Gothic" w:cstheme="majorHAnsi"/>
                <w:b/>
                <w:bCs/>
                <w:sz w:val="23"/>
                <w:szCs w:val="23"/>
              </w:rPr>
            </w:pPr>
          </w:p>
          <w:p w14:paraId="2160EF7F" w14:textId="7E70007A"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 ILSE AMÉRICA GARCÍA SOTO</w:t>
            </w:r>
          </w:p>
        </w:tc>
        <w:tc>
          <w:tcPr>
            <w:tcW w:w="4443" w:type="dxa"/>
            <w:vAlign w:val="bottom"/>
          </w:tcPr>
          <w:p w14:paraId="1ED096B5" w14:textId="77777777"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 BENJAMÍN CARRERA CHÁVEZ</w:t>
            </w:r>
          </w:p>
        </w:tc>
      </w:tr>
      <w:tr w:rsidR="00C65BE3" w:rsidRPr="000004E5" w14:paraId="57F4C3B9" w14:textId="77777777" w:rsidTr="00C65BE3">
        <w:trPr>
          <w:trHeight w:val="1640"/>
        </w:trPr>
        <w:tc>
          <w:tcPr>
            <w:tcW w:w="4443" w:type="dxa"/>
            <w:vAlign w:val="bottom"/>
          </w:tcPr>
          <w:p w14:paraId="256619B4" w14:textId="77777777" w:rsidR="00263B05" w:rsidRDefault="00263B05" w:rsidP="007056AD">
            <w:pPr>
              <w:spacing w:after="120" w:line="360" w:lineRule="auto"/>
              <w:ind w:left="720"/>
              <w:jc w:val="center"/>
              <w:rPr>
                <w:rFonts w:ascii="Century Gothic" w:hAnsi="Century Gothic" w:cstheme="majorHAnsi"/>
                <w:b/>
                <w:bCs/>
                <w:sz w:val="23"/>
                <w:szCs w:val="23"/>
              </w:rPr>
            </w:pPr>
          </w:p>
          <w:p w14:paraId="4475A883" w14:textId="77777777" w:rsidR="00263B05" w:rsidRDefault="00263B05" w:rsidP="007056AD">
            <w:pPr>
              <w:spacing w:after="120" w:line="360" w:lineRule="auto"/>
              <w:ind w:left="720"/>
              <w:jc w:val="center"/>
              <w:rPr>
                <w:rFonts w:ascii="Century Gothic" w:hAnsi="Century Gothic" w:cstheme="majorHAnsi"/>
                <w:b/>
                <w:bCs/>
                <w:sz w:val="23"/>
                <w:szCs w:val="23"/>
              </w:rPr>
            </w:pPr>
          </w:p>
          <w:p w14:paraId="4010280D" w14:textId="77777777" w:rsidR="00263B05" w:rsidRDefault="00263B05" w:rsidP="007056AD">
            <w:pPr>
              <w:spacing w:after="120" w:line="360" w:lineRule="auto"/>
              <w:ind w:left="720"/>
              <w:jc w:val="center"/>
              <w:rPr>
                <w:rFonts w:ascii="Century Gothic" w:hAnsi="Century Gothic" w:cstheme="majorHAnsi"/>
                <w:b/>
                <w:bCs/>
                <w:sz w:val="23"/>
                <w:szCs w:val="23"/>
              </w:rPr>
            </w:pPr>
          </w:p>
          <w:p w14:paraId="7EB61B55" w14:textId="70CE93FC" w:rsidR="00C65BE3" w:rsidRPr="000004E5" w:rsidRDefault="00C65BE3" w:rsidP="007056AD">
            <w:pPr>
              <w:spacing w:after="120" w:line="360" w:lineRule="auto"/>
              <w:ind w:left="720"/>
              <w:jc w:val="center"/>
              <w:rPr>
                <w:rFonts w:ascii="Century Gothic" w:hAnsi="Century Gothic" w:cstheme="majorHAnsi"/>
                <w:b/>
                <w:bCs/>
                <w:sz w:val="23"/>
                <w:szCs w:val="23"/>
              </w:rPr>
            </w:pPr>
            <w:r w:rsidRPr="000004E5">
              <w:rPr>
                <w:rFonts w:ascii="Century Gothic" w:hAnsi="Century Gothic" w:cstheme="majorHAnsi"/>
                <w:b/>
                <w:bCs/>
                <w:sz w:val="23"/>
                <w:szCs w:val="23"/>
              </w:rPr>
              <w:t>DIP. DAVID OSCAR CASTREJÓN RIVAS</w:t>
            </w:r>
          </w:p>
        </w:tc>
        <w:tc>
          <w:tcPr>
            <w:tcW w:w="4443" w:type="dxa"/>
          </w:tcPr>
          <w:p w14:paraId="2B438291" w14:textId="77777777" w:rsidR="00C65BE3" w:rsidRPr="000004E5" w:rsidRDefault="00C65BE3" w:rsidP="007056AD">
            <w:pPr>
              <w:spacing w:after="120" w:line="360" w:lineRule="auto"/>
              <w:ind w:left="720"/>
              <w:jc w:val="center"/>
              <w:rPr>
                <w:rFonts w:ascii="Century Gothic" w:hAnsi="Century Gothic" w:cstheme="majorHAnsi"/>
                <w:sz w:val="23"/>
                <w:szCs w:val="23"/>
              </w:rPr>
            </w:pPr>
          </w:p>
        </w:tc>
      </w:tr>
    </w:tbl>
    <w:p w14:paraId="546E01C4" w14:textId="375D10C8" w:rsidR="00830A8B" w:rsidRPr="000004E5" w:rsidRDefault="00830A8B" w:rsidP="007056AD">
      <w:pPr>
        <w:pBdr>
          <w:top w:val="nil"/>
          <w:left w:val="nil"/>
          <w:bottom w:val="nil"/>
          <w:right w:val="nil"/>
          <w:between w:val="nil"/>
        </w:pBdr>
        <w:spacing w:after="120" w:line="360" w:lineRule="auto"/>
        <w:ind w:left="720"/>
        <w:jc w:val="center"/>
        <w:rPr>
          <w:rFonts w:ascii="Century Gothic" w:eastAsia="Century Gothic" w:hAnsi="Century Gothic" w:cs="Century Gothic"/>
          <w:b/>
          <w:sz w:val="23"/>
          <w:szCs w:val="23"/>
        </w:rPr>
      </w:pPr>
    </w:p>
    <w:p w14:paraId="1D201E7C" w14:textId="77777777" w:rsidR="007056AD" w:rsidRPr="000004E5" w:rsidRDefault="007056AD" w:rsidP="007056AD">
      <w:pPr>
        <w:pBdr>
          <w:top w:val="nil"/>
          <w:left w:val="nil"/>
          <w:bottom w:val="nil"/>
          <w:right w:val="nil"/>
          <w:between w:val="nil"/>
        </w:pBdr>
        <w:spacing w:after="120" w:line="360" w:lineRule="auto"/>
        <w:ind w:left="720"/>
        <w:jc w:val="center"/>
        <w:rPr>
          <w:rFonts w:ascii="Century Gothic" w:eastAsia="Century Gothic" w:hAnsi="Century Gothic" w:cs="Century Gothic"/>
          <w:b/>
          <w:sz w:val="23"/>
          <w:szCs w:val="23"/>
        </w:rPr>
      </w:pPr>
    </w:p>
    <w:sectPr w:rsidR="007056AD" w:rsidRPr="000004E5">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1D695" w14:textId="77777777" w:rsidR="00FA7448" w:rsidRDefault="00FA7448">
      <w:r>
        <w:separator/>
      </w:r>
    </w:p>
  </w:endnote>
  <w:endnote w:type="continuationSeparator" w:id="0">
    <w:p w14:paraId="350F5BCD" w14:textId="77777777" w:rsidR="00FA7448" w:rsidRDefault="00FA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inyon Script">
    <w:altName w:val="Calibri"/>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C5794D">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C5794D">
      <w:rPr>
        <w:rFonts w:ascii="Century Gothic" w:eastAsia="Century Gothic" w:hAnsi="Century Gothic" w:cs="Century Gothic"/>
        <w:b/>
        <w:noProof/>
        <w:color w:val="525252"/>
        <w:sz w:val="16"/>
        <w:szCs w:val="16"/>
      </w:rPr>
      <w:t>7</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529D3" w14:textId="77777777" w:rsidR="00FA7448" w:rsidRDefault="00FA7448">
      <w:r>
        <w:separator/>
      </w:r>
    </w:p>
  </w:footnote>
  <w:footnote w:type="continuationSeparator" w:id="0">
    <w:p w14:paraId="41F6ED72" w14:textId="77777777" w:rsidR="00FA7448" w:rsidRDefault="00FA7448">
      <w:r>
        <w:continuationSeparator/>
      </w:r>
    </w:p>
  </w:footnote>
  <w:footnote w:id="1">
    <w:p w14:paraId="0D829652" w14:textId="32FDD8C9" w:rsidR="00066898" w:rsidRPr="00066898" w:rsidRDefault="00066898" w:rsidP="00066898">
      <w:pPr>
        <w:pStyle w:val="Ttulo2"/>
        <w:shd w:val="clear" w:color="auto" w:fill="FFFFFF"/>
        <w:spacing w:before="0"/>
        <w:textAlignment w:val="baseline"/>
        <w:rPr>
          <w:rFonts w:asciiTheme="majorHAnsi" w:hAnsiTheme="majorHAnsi" w:cstheme="majorHAnsi"/>
          <w:color w:val="auto"/>
          <w:sz w:val="22"/>
          <w:szCs w:val="22"/>
        </w:rPr>
      </w:pPr>
      <w:r w:rsidRPr="00066898">
        <w:rPr>
          <w:rStyle w:val="Refdenotaalpie"/>
          <w:rFonts w:asciiTheme="majorHAnsi" w:hAnsiTheme="majorHAnsi" w:cstheme="majorHAnsi"/>
          <w:color w:val="auto"/>
          <w:sz w:val="22"/>
          <w:szCs w:val="22"/>
        </w:rPr>
        <w:footnoteRef/>
      </w:r>
      <w:r w:rsidRPr="00066898">
        <w:rPr>
          <w:rFonts w:asciiTheme="majorHAnsi" w:hAnsiTheme="majorHAnsi" w:cstheme="majorHAnsi"/>
          <w:color w:val="auto"/>
          <w:sz w:val="22"/>
          <w:szCs w:val="22"/>
        </w:rPr>
        <w:t xml:space="preserve"> </w:t>
      </w:r>
      <w:r w:rsidRPr="00066898">
        <w:rPr>
          <w:rFonts w:asciiTheme="majorHAnsi" w:hAnsiTheme="majorHAnsi" w:cstheme="majorHAnsi"/>
          <w:color w:val="auto"/>
          <w:sz w:val="22"/>
          <w:szCs w:val="22"/>
          <w:bdr w:val="none" w:sz="0" w:space="0" w:color="auto" w:frame="1"/>
        </w:rPr>
        <w:t>¿</w:t>
      </w:r>
      <w:r w:rsidRPr="00066898">
        <w:rPr>
          <w:rFonts w:asciiTheme="majorHAnsi" w:hAnsiTheme="majorHAnsi" w:cstheme="majorHAnsi"/>
          <w:color w:val="auto"/>
          <w:sz w:val="22"/>
          <w:szCs w:val="22"/>
        </w:rPr>
        <w:t>Por qué es importante la perspectiva de género en el sistema de justicia penal</w:t>
      </w:r>
      <w:r w:rsidRPr="00066898">
        <w:rPr>
          <w:rFonts w:asciiTheme="majorHAnsi" w:hAnsiTheme="majorHAnsi" w:cstheme="majorHAnsi"/>
          <w:color w:val="auto"/>
          <w:sz w:val="22"/>
          <w:szCs w:val="22"/>
          <w:bdr w:val="none" w:sz="0" w:space="0" w:color="auto" w:frame="1"/>
        </w:rPr>
        <w:t xml:space="preserve">? </w:t>
      </w:r>
      <w:hyperlink r:id="rId1" w:history="1">
        <w:r w:rsidRPr="00066898">
          <w:rPr>
            <w:rStyle w:val="Hipervnculo"/>
            <w:rFonts w:asciiTheme="majorHAnsi" w:hAnsiTheme="majorHAnsi" w:cstheme="majorHAnsi"/>
            <w:sz w:val="22"/>
            <w:szCs w:val="22"/>
          </w:rPr>
          <w:t>https://cejume.mx/index.php/2021/03/02/por-que-es-importante-la-perspectiva-de-genero-en-el-sistema-de-justicia-penal/</w:t>
        </w:r>
      </w:hyperlink>
      <w:r w:rsidRPr="00066898">
        <w:rPr>
          <w:rFonts w:asciiTheme="majorHAnsi" w:hAnsiTheme="majorHAnsi" w:cstheme="majorHAnsi"/>
          <w:color w:val="auto"/>
          <w:sz w:val="22"/>
          <w:szCs w:val="22"/>
        </w:rPr>
        <w:t xml:space="preserve"> </w:t>
      </w:r>
    </w:p>
  </w:footnote>
  <w:footnote w:id="2">
    <w:p w14:paraId="0F6D74F0" w14:textId="1E3139FF" w:rsidR="00066898" w:rsidRPr="00066898" w:rsidRDefault="00066898">
      <w:pPr>
        <w:pStyle w:val="Textonotapie"/>
        <w:rPr>
          <w:sz w:val="22"/>
          <w:szCs w:val="22"/>
          <w:lang w:val="es-MX"/>
        </w:rPr>
      </w:pPr>
      <w:r w:rsidRPr="00066898">
        <w:rPr>
          <w:rStyle w:val="Refdenotaalpie"/>
          <w:rFonts w:asciiTheme="majorHAnsi" w:hAnsiTheme="majorHAnsi" w:cstheme="majorHAnsi"/>
          <w:sz w:val="22"/>
          <w:szCs w:val="22"/>
        </w:rPr>
        <w:footnoteRef/>
      </w:r>
      <w:r w:rsidRPr="00066898">
        <w:rPr>
          <w:rFonts w:asciiTheme="majorHAnsi" w:hAnsiTheme="majorHAnsi" w:cstheme="majorHAnsi"/>
          <w:sz w:val="22"/>
          <w:szCs w:val="22"/>
        </w:rPr>
        <w:t xml:space="preserve"> Manual para Juzgar con Perspectiva de Género en Materia Penal </w:t>
      </w:r>
      <w:hyperlink r:id="rId2" w:history="1">
        <w:r w:rsidRPr="00066898">
          <w:rPr>
            <w:rStyle w:val="Hipervnculo"/>
            <w:rFonts w:asciiTheme="majorHAnsi" w:hAnsiTheme="majorHAnsi" w:cstheme="majorHAnsi"/>
            <w:sz w:val="22"/>
            <w:szCs w:val="22"/>
          </w:rPr>
          <w:t>https://www.scjn.gob.mx/derechos-humanos/sites/default/files/Publicaciones/archivos/2021-12/Manual%20para%20juzgar%20con%20perspectiva%20de%20ge%CC%81nero%20en%20materia%20penal_0.pdf</w:t>
        </w:r>
      </w:hyperlink>
      <w:r w:rsidRPr="00066898">
        <w:rPr>
          <w:rFonts w:asciiTheme="majorHAnsi" w:hAnsiTheme="majorHAnsi" w:cstheme="majorHAnsi"/>
          <w:sz w:val="22"/>
          <w:szCs w:val="22"/>
        </w:rPr>
        <w:t xml:space="preserve"> </w:t>
      </w:r>
    </w:p>
  </w:footnote>
  <w:footnote w:id="3">
    <w:p w14:paraId="15144019" w14:textId="2D8AD5AE" w:rsidR="00066898" w:rsidRPr="00066898" w:rsidRDefault="00066898">
      <w:pPr>
        <w:pStyle w:val="Textonotapie"/>
        <w:rPr>
          <w:rFonts w:asciiTheme="majorHAnsi" w:hAnsiTheme="majorHAnsi" w:cstheme="majorHAnsi"/>
          <w:sz w:val="22"/>
          <w:szCs w:val="22"/>
          <w:lang w:val="es-MX"/>
        </w:rPr>
      </w:pPr>
      <w:r w:rsidRPr="00066898">
        <w:rPr>
          <w:rStyle w:val="Refdenotaalpie"/>
          <w:rFonts w:asciiTheme="majorHAnsi" w:hAnsiTheme="majorHAnsi" w:cstheme="majorHAnsi"/>
          <w:sz w:val="22"/>
          <w:szCs w:val="22"/>
        </w:rPr>
        <w:footnoteRef/>
      </w:r>
      <w:r w:rsidRPr="00066898">
        <w:rPr>
          <w:rFonts w:asciiTheme="majorHAnsi" w:hAnsiTheme="majorHAnsi" w:cstheme="majorHAnsi"/>
          <w:sz w:val="22"/>
          <w:szCs w:val="22"/>
        </w:rPr>
        <w:t xml:space="preserve"> Amparo directo en revisión 3186/2016 </w:t>
      </w:r>
      <w:hyperlink r:id="rId3" w:history="1">
        <w:r w:rsidRPr="00066898">
          <w:rPr>
            <w:rStyle w:val="Hipervnculo"/>
            <w:rFonts w:asciiTheme="majorHAnsi" w:hAnsiTheme="majorHAnsi" w:cstheme="majorHAnsi"/>
            <w:sz w:val="22"/>
            <w:szCs w:val="22"/>
          </w:rPr>
          <w:t>https://www2.scjn.gob.mx/juridica/engroses/1/2016/10/2_199517_3622.doc</w:t>
        </w:r>
      </w:hyperlink>
      <w:r w:rsidRPr="00066898">
        <w:rPr>
          <w:rFonts w:asciiTheme="majorHAnsi" w:hAnsiTheme="majorHAnsi" w:cstheme="majorHAnsi"/>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176E" w14:textId="77777777" w:rsidR="00325B88" w:rsidRPr="00325B88" w:rsidRDefault="00325B88"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56B"/>
    <w:multiLevelType w:val="hybridMultilevel"/>
    <w:tmpl w:val="89B8F392"/>
    <w:lvl w:ilvl="0" w:tplc="91D40BA2">
      <w:start w:val="1"/>
      <w:numFmt w:val="decimal"/>
      <w:lvlText w:val="%1."/>
      <w:lvlJc w:val="left"/>
      <w:pPr>
        <w:ind w:left="720" w:hanging="360"/>
      </w:pPr>
      <w:rPr>
        <w:rFonts w:eastAsia="Arial" w:cs="Arial"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C43E2"/>
    <w:multiLevelType w:val="hybridMultilevel"/>
    <w:tmpl w:val="779E638E"/>
    <w:lvl w:ilvl="0" w:tplc="3C4C7B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210BB"/>
    <w:multiLevelType w:val="hybridMultilevel"/>
    <w:tmpl w:val="9ED021CC"/>
    <w:lvl w:ilvl="0" w:tplc="3A5AF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A607C"/>
    <w:multiLevelType w:val="hybridMultilevel"/>
    <w:tmpl w:val="A5D8F476"/>
    <w:lvl w:ilvl="0" w:tplc="AE7677C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646FDE"/>
    <w:multiLevelType w:val="hybridMultilevel"/>
    <w:tmpl w:val="CB8EB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9920D8"/>
    <w:multiLevelType w:val="hybridMultilevel"/>
    <w:tmpl w:val="72E8C20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154434"/>
    <w:multiLevelType w:val="hybridMultilevel"/>
    <w:tmpl w:val="FD5429EC"/>
    <w:lvl w:ilvl="0" w:tplc="641AA5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6"/>
  </w:num>
  <w:num w:numId="5">
    <w:abstractNumId w:val="14"/>
  </w:num>
  <w:num w:numId="6">
    <w:abstractNumId w:val="1"/>
  </w:num>
  <w:num w:numId="7">
    <w:abstractNumId w:val="0"/>
  </w:num>
  <w:num w:numId="8">
    <w:abstractNumId w:val="8"/>
  </w:num>
  <w:num w:numId="9">
    <w:abstractNumId w:val="4"/>
  </w:num>
  <w:num w:numId="10">
    <w:abstractNumId w:val="2"/>
  </w:num>
  <w:num w:numId="11">
    <w:abstractNumId w:val="3"/>
  </w:num>
  <w:num w:numId="12">
    <w:abstractNumId w:val="5"/>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08"/>
    <w:rsid w:val="000004E5"/>
    <w:rsid w:val="00001978"/>
    <w:rsid w:val="00002528"/>
    <w:rsid w:val="0000547A"/>
    <w:rsid w:val="00007A28"/>
    <w:rsid w:val="000269A1"/>
    <w:rsid w:val="00033E45"/>
    <w:rsid w:val="00061E96"/>
    <w:rsid w:val="00066898"/>
    <w:rsid w:val="00082D53"/>
    <w:rsid w:val="000A4E35"/>
    <w:rsid w:val="000E4C2D"/>
    <w:rsid w:val="000E5AA3"/>
    <w:rsid w:val="00111893"/>
    <w:rsid w:val="00113DE2"/>
    <w:rsid w:val="00116E2A"/>
    <w:rsid w:val="00125A9D"/>
    <w:rsid w:val="001304A5"/>
    <w:rsid w:val="00142759"/>
    <w:rsid w:val="00147496"/>
    <w:rsid w:val="00186EE6"/>
    <w:rsid w:val="00187EA4"/>
    <w:rsid w:val="00193D88"/>
    <w:rsid w:val="001A4EBF"/>
    <w:rsid w:val="001B39B5"/>
    <w:rsid w:val="001B52C6"/>
    <w:rsid w:val="001E3D47"/>
    <w:rsid w:val="001F54C6"/>
    <w:rsid w:val="001F64D8"/>
    <w:rsid w:val="0020395B"/>
    <w:rsid w:val="0024077A"/>
    <w:rsid w:val="0024194D"/>
    <w:rsid w:val="00247CE1"/>
    <w:rsid w:val="00252340"/>
    <w:rsid w:val="00263B05"/>
    <w:rsid w:val="002A50BF"/>
    <w:rsid w:val="002B5D95"/>
    <w:rsid w:val="002C35B2"/>
    <w:rsid w:val="002D4670"/>
    <w:rsid w:val="002E1A43"/>
    <w:rsid w:val="002E3250"/>
    <w:rsid w:val="00325B88"/>
    <w:rsid w:val="00330CAD"/>
    <w:rsid w:val="003320ED"/>
    <w:rsid w:val="00341F41"/>
    <w:rsid w:val="0036438F"/>
    <w:rsid w:val="0037245F"/>
    <w:rsid w:val="003776C3"/>
    <w:rsid w:val="0038217B"/>
    <w:rsid w:val="00382FAA"/>
    <w:rsid w:val="003E7250"/>
    <w:rsid w:val="004139B3"/>
    <w:rsid w:val="00433A7B"/>
    <w:rsid w:val="00435832"/>
    <w:rsid w:val="00444F28"/>
    <w:rsid w:val="00455B5F"/>
    <w:rsid w:val="00460F75"/>
    <w:rsid w:val="00462B4C"/>
    <w:rsid w:val="00465A14"/>
    <w:rsid w:val="00467D72"/>
    <w:rsid w:val="00493CCD"/>
    <w:rsid w:val="004B0EE2"/>
    <w:rsid w:val="004B5398"/>
    <w:rsid w:val="004B7377"/>
    <w:rsid w:val="00532350"/>
    <w:rsid w:val="00543495"/>
    <w:rsid w:val="00561059"/>
    <w:rsid w:val="0056143E"/>
    <w:rsid w:val="005668BF"/>
    <w:rsid w:val="0058632E"/>
    <w:rsid w:val="00594920"/>
    <w:rsid w:val="00596A33"/>
    <w:rsid w:val="005A3AA7"/>
    <w:rsid w:val="005D4BA1"/>
    <w:rsid w:val="005D7DE9"/>
    <w:rsid w:val="0060108C"/>
    <w:rsid w:val="0062671E"/>
    <w:rsid w:val="00633923"/>
    <w:rsid w:val="00634FC5"/>
    <w:rsid w:val="00663789"/>
    <w:rsid w:val="00677728"/>
    <w:rsid w:val="00681A87"/>
    <w:rsid w:val="0069175F"/>
    <w:rsid w:val="006A7357"/>
    <w:rsid w:val="006C0F45"/>
    <w:rsid w:val="006C66BA"/>
    <w:rsid w:val="006D39C1"/>
    <w:rsid w:val="006F4335"/>
    <w:rsid w:val="006F6E47"/>
    <w:rsid w:val="007056AD"/>
    <w:rsid w:val="00717FBB"/>
    <w:rsid w:val="007218EA"/>
    <w:rsid w:val="00744E12"/>
    <w:rsid w:val="00752C30"/>
    <w:rsid w:val="00757B25"/>
    <w:rsid w:val="00770562"/>
    <w:rsid w:val="007908F1"/>
    <w:rsid w:val="00830167"/>
    <w:rsid w:val="00830A8B"/>
    <w:rsid w:val="0084576D"/>
    <w:rsid w:val="008533B6"/>
    <w:rsid w:val="00864F05"/>
    <w:rsid w:val="00870170"/>
    <w:rsid w:val="0089213D"/>
    <w:rsid w:val="008A2FA2"/>
    <w:rsid w:val="008C399A"/>
    <w:rsid w:val="008F6A9D"/>
    <w:rsid w:val="00940CF7"/>
    <w:rsid w:val="00947893"/>
    <w:rsid w:val="00952B1C"/>
    <w:rsid w:val="00956896"/>
    <w:rsid w:val="009568C4"/>
    <w:rsid w:val="00966393"/>
    <w:rsid w:val="009768FB"/>
    <w:rsid w:val="00983084"/>
    <w:rsid w:val="00987FC9"/>
    <w:rsid w:val="00997402"/>
    <w:rsid w:val="009B500C"/>
    <w:rsid w:val="009C138C"/>
    <w:rsid w:val="009C1E11"/>
    <w:rsid w:val="009E2A5A"/>
    <w:rsid w:val="009E2C49"/>
    <w:rsid w:val="00A43F50"/>
    <w:rsid w:val="00A557D5"/>
    <w:rsid w:val="00A74209"/>
    <w:rsid w:val="00AB12DD"/>
    <w:rsid w:val="00AC30E2"/>
    <w:rsid w:val="00AE2105"/>
    <w:rsid w:val="00AE3499"/>
    <w:rsid w:val="00B05008"/>
    <w:rsid w:val="00B059AC"/>
    <w:rsid w:val="00B24791"/>
    <w:rsid w:val="00B53338"/>
    <w:rsid w:val="00B737DC"/>
    <w:rsid w:val="00BB5755"/>
    <w:rsid w:val="00BE33D5"/>
    <w:rsid w:val="00BE466E"/>
    <w:rsid w:val="00BE4AF4"/>
    <w:rsid w:val="00C010D6"/>
    <w:rsid w:val="00C10393"/>
    <w:rsid w:val="00C12F1C"/>
    <w:rsid w:val="00C14FEF"/>
    <w:rsid w:val="00C2361D"/>
    <w:rsid w:val="00C24132"/>
    <w:rsid w:val="00C4557B"/>
    <w:rsid w:val="00C5028B"/>
    <w:rsid w:val="00C5794D"/>
    <w:rsid w:val="00C65BE3"/>
    <w:rsid w:val="00CA170B"/>
    <w:rsid w:val="00CA69E6"/>
    <w:rsid w:val="00CB5B36"/>
    <w:rsid w:val="00CC3E3F"/>
    <w:rsid w:val="00CD5EC0"/>
    <w:rsid w:val="00CF22AB"/>
    <w:rsid w:val="00CF257F"/>
    <w:rsid w:val="00D12AFD"/>
    <w:rsid w:val="00D30850"/>
    <w:rsid w:val="00D34A93"/>
    <w:rsid w:val="00D54A0F"/>
    <w:rsid w:val="00D759FE"/>
    <w:rsid w:val="00D90625"/>
    <w:rsid w:val="00DB23E0"/>
    <w:rsid w:val="00DC2212"/>
    <w:rsid w:val="00DC3AF2"/>
    <w:rsid w:val="00DD786B"/>
    <w:rsid w:val="00E017BC"/>
    <w:rsid w:val="00E23652"/>
    <w:rsid w:val="00E52BD2"/>
    <w:rsid w:val="00E54D5D"/>
    <w:rsid w:val="00E55070"/>
    <w:rsid w:val="00E5590E"/>
    <w:rsid w:val="00E62FC4"/>
    <w:rsid w:val="00E702B4"/>
    <w:rsid w:val="00E80863"/>
    <w:rsid w:val="00E80E10"/>
    <w:rsid w:val="00E87DE3"/>
    <w:rsid w:val="00ED5AF2"/>
    <w:rsid w:val="00ED65D5"/>
    <w:rsid w:val="00EE2465"/>
    <w:rsid w:val="00EE6FF4"/>
    <w:rsid w:val="00EF3745"/>
    <w:rsid w:val="00F02D05"/>
    <w:rsid w:val="00F14364"/>
    <w:rsid w:val="00F166E7"/>
    <w:rsid w:val="00F209F9"/>
    <w:rsid w:val="00F3141D"/>
    <w:rsid w:val="00F406F3"/>
    <w:rsid w:val="00F41BB7"/>
    <w:rsid w:val="00F46FB7"/>
    <w:rsid w:val="00F7760D"/>
    <w:rsid w:val="00F83DB1"/>
    <w:rsid w:val="00F95346"/>
    <w:rsid w:val="00FA2FAC"/>
    <w:rsid w:val="00FA7448"/>
    <w:rsid w:val="00FB7DA6"/>
    <w:rsid w:val="00FC5458"/>
    <w:rsid w:val="00FD6878"/>
    <w:rsid w:val="00FE1AE0"/>
    <w:rsid w:val="00FF2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ia">
    <w:name w:val="sangria"/>
    <w:basedOn w:val="Normal"/>
    <w:rsid w:val="0089213D"/>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39"/>
    <w:rsid w:val="00830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06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399">
      <w:bodyDiv w:val="1"/>
      <w:marLeft w:val="0"/>
      <w:marRight w:val="0"/>
      <w:marTop w:val="0"/>
      <w:marBottom w:val="0"/>
      <w:divBdr>
        <w:top w:val="none" w:sz="0" w:space="0" w:color="auto"/>
        <w:left w:val="none" w:sz="0" w:space="0" w:color="auto"/>
        <w:bottom w:val="none" w:sz="0" w:space="0" w:color="auto"/>
        <w:right w:val="none" w:sz="0" w:space="0" w:color="auto"/>
      </w:divBdr>
    </w:div>
    <w:div w:id="68189963">
      <w:bodyDiv w:val="1"/>
      <w:marLeft w:val="0"/>
      <w:marRight w:val="0"/>
      <w:marTop w:val="0"/>
      <w:marBottom w:val="0"/>
      <w:divBdr>
        <w:top w:val="none" w:sz="0" w:space="0" w:color="auto"/>
        <w:left w:val="none" w:sz="0" w:space="0" w:color="auto"/>
        <w:bottom w:val="none" w:sz="0" w:space="0" w:color="auto"/>
        <w:right w:val="none" w:sz="0" w:space="0" w:color="auto"/>
      </w:divBdr>
    </w:div>
    <w:div w:id="293870040">
      <w:bodyDiv w:val="1"/>
      <w:marLeft w:val="0"/>
      <w:marRight w:val="0"/>
      <w:marTop w:val="0"/>
      <w:marBottom w:val="0"/>
      <w:divBdr>
        <w:top w:val="none" w:sz="0" w:space="0" w:color="auto"/>
        <w:left w:val="none" w:sz="0" w:space="0" w:color="auto"/>
        <w:bottom w:val="none" w:sz="0" w:space="0" w:color="auto"/>
        <w:right w:val="none" w:sz="0" w:space="0" w:color="auto"/>
      </w:divBdr>
    </w:div>
    <w:div w:id="332609615">
      <w:bodyDiv w:val="1"/>
      <w:marLeft w:val="0"/>
      <w:marRight w:val="0"/>
      <w:marTop w:val="0"/>
      <w:marBottom w:val="0"/>
      <w:divBdr>
        <w:top w:val="none" w:sz="0" w:space="0" w:color="auto"/>
        <w:left w:val="none" w:sz="0" w:space="0" w:color="auto"/>
        <w:bottom w:val="none" w:sz="0" w:space="0" w:color="auto"/>
        <w:right w:val="none" w:sz="0" w:space="0" w:color="auto"/>
      </w:divBdr>
      <w:divsChild>
        <w:div w:id="1932734001">
          <w:marLeft w:val="0"/>
          <w:marRight w:val="0"/>
          <w:marTop w:val="0"/>
          <w:marBottom w:val="0"/>
          <w:divBdr>
            <w:top w:val="none" w:sz="0" w:space="0" w:color="auto"/>
            <w:left w:val="none" w:sz="0" w:space="0" w:color="auto"/>
            <w:bottom w:val="none" w:sz="0" w:space="0" w:color="auto"/>
            <w:right w:val="none" w:sz="0" w:space="0" w:color="auto"/>
          </w:divBdr>
        </w:div>
      </w:divsChild>
    </w:div>
    <w:div w:id="353456917">
      <w:bodyDiv w:val="1"/>
      <w:marLeft w:val="0"/>
      <w:marRight w:val="0"/>
      <w:marTop w:val="0"/>
      <w:marBottom w:val="0"/>
      <w:divBdr>
        <w:top w:val="none" w:sz="0" w:space="0" w:color="auto"/>
        <w:left w:val="none" w:sz="0" w:space="0" w:color="auto"/>
        <w:bottom w:val="none" w:sz="0" w:space="0" w:color="auto"/>
        <w:right w:val="none" w:sz="0" w:space="0" w:color="auto"/>
      </w:divBdr>
      <w:divsChild>
        <w:div w:id="1134904247">
          <w:marLeft w:val="0"/>
          <w:marRight w:val="0"/>
          <w:marTop w:val="0"/>
          <w:marBottom w:val="0"/>
          <w:divBdr>
            <w:top w:val="none" w:sz="0" w:space="0" w:color="auto"/>
            <w:left w:val="none" w:sz="0" w:space="0" w:color="auto"/>
            <w:bottom w:val="none" w:sz="0" w:space="0" w:color="auto"/>
            <w:right w:val="none" w:sz="0" w:space="0" w:color="auto"/>
          </w:divBdr>
        </w:div>
        <w:div w:id="702483934">
          <w:marLeft w:val="0"/>
          <w:marRight w:val="0"/>
          <w:marTop w:val="0"/>
          <w:marBottom w:val="0"/>
          <w:divBdr>
            <w:top w:val="none" w:sz="0" w:space="0" w:color="auto"/>
            <w:left w:val="none" w:sz="0" w:space="0" w:color="auto"/>
            <w:bottom w:val="none" w:sz="0" w:space="0" w:color="auto"/>
            <w:right w:val="none" w:sz="0" w:space="0" w:color="auto"/>
          </w:divBdr>
          <w:divsChild>
            <w:div w:id="937829540">
              <w:marLeft w:val="0"/>
              <w:marRight w:val="0"/>
              <w:marTop w:val="0"/>
              <w:marBottom w:val="0"/>
              <w:divBdr>
                <w:top w:val="none" w:sz="0" w:space="0" w:color="auto"/>
                <w:left w:val="none" w:sz="0" w:space="0" w:color="auto"/>
                <w:bottom w:val="none" w:sz="0" w:space="0" w:color="auto"/>
                <w:right w:val="none" w:sz="0" w:space="0" w:color="auto"/>
              </w:divBdr>
              <w:divsChild>
                <w:div w:id="1317880268">
                  <w:marLeft w:val="0"/>
                  <w:marRight w:val="0"/>
                  <w:marTop w:val="0"/>
                  <w:marBottom w:val="0"/>
                  <w:divBdr>
                    <w:top w:val="none" w:sz="0" w:space="0" w:color="auto"/>
                    <w:left w:val="none" w:sz="0" w:space="0" w:color="auto"/>
                    <w:bottom w:val="none" w:sz="0" w:space="0" w:color="auto"/>
                    <w:right w:val="none" w:sz="0" w:space="0" w:color="auto"/>
                  </w:divBdr>
                  <w:divsChild>
                    <w:div w:id="1936480117">
                      <w:marLeft w:val="0"/>
                      <w:marRight w:val="0"/>
                      <w:marTop w:val="0"/>
                      <w:marBottom w:val="0"/>
                      <w:divBdr>
                        <w:top w:val="none" w:sz="0" w:space="0" w:color="auto"/>
                        <w:left w:val="none" w:sz="0" w:space="0" w:color="auto"/>
                        <w:bottom w:val="none" w:sz="0" w:space="0" w:color="auto"/>
                        <w:right w:val="none" w:sz="0" w:space="0" w:color="auto"/>
                      </w:divBdr>
                      <w:divsChild>
                        <w:div w:id="13824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90308">
      <w:bodyDiv w:val="1"/>
      <w:marLeft w:val="0"/>
      <w:marRight w:val="0"/>
      <w:marTop w:val="0"/>
      <w:marBottom w:val="0"/>
      <w:divBdr>
        <w:top w:val="none" w:sz="0" w:space="0" w:color="auto"/>
        <w:left w:val="none" w:sz="0" w:space="0" w:color="auto"/>
        <w:bottom w:val="none" w:sz="0" w:space="0" w:color="auto"/>
        <w:right w:val="none" w:sz="0" w:space="0" w:color="auto"/>
      </w:divBdr>
    </w:div>
    <w:div w:id="1724712380">
      <w:bodyDiv w:val="1"/>
      <w:marLeft w:val="0"/>
      <w:marRight w:val="0"/>
      <w:marTop w:val="0"/>
      <w:marBottom w:val="0"/>
      <w:divBdr>
        <w:top w:val="none" w:sz="0" w:space="0" w:color="auto"/>
        <w:left w:val="none" w:sz="0" w:space="0" w:color="auto"/>
        <w:bottom w:val="none" w:sz="0" w:space="0" w:color="auto"/>
        <w:right w:val="none" w:sz="0" w:space="0" w:color="auto"/>
      </w:divBdr>
      <w:divsChild>
        <w:div w:id="30419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2.scjn.gob.mx/juridica/engroses/1/2016/10/2_199517_3622.doc" TargetMode="External"/><Relationship Id="rId2" Type="http://schemas.openxmlformats.org/officeDocument/2006/relationships/hyperlink" Target="https://www.scjn.gob.mx/derechos-humanos/sites/default/files/Publicaciones/archivos/2021-12/Manual%20para%20juzgar%20con%20perspectiva%20de%20ge%CC%81nero%20en%20materia%20penal_0.pdf" TargetMode="External"/><Relationship Id="rId1" Type="http://schemas.openxmlformats.org/officeDocument/2006/relationships/hyperlink" Target="https://cejume.mx/index.php/2021/03/02/por-que-es-importante-la-perspectiva-de-genero-en-el-sistema-de-justicia-pe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DC43-34AD-4C2E-9138-D209EA71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Sarahi Gonzalez Dominguez</cp:lastModifiedBy>
  <cp:revision>2</cp:revision>
  <cp:lastPrinted>2022-03-14T04:48:00Z</cp:lastPrinted>
  <dcterms:created xsi:type="dcterms:W3CDTF">2022-10-19T20:11:00Z</dcterms:created>
  <dcterms:modified xsi:type="dcterms:W3CDTF">2022-10-19T20:11:00Z</dcterms:modified>
</cp:coreProperties>
</file>