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9BB9" w14:textId="77777777" w:rsidR="00DB0F90" w:rsidRDefault="005813EB" w:rsidP="005813EB">
      <w:pPr>
        <w:spacing w:line="360" w:lineRule="auto"/>
        <w:jc w:val="both"/>
        <w:rPr>
          <w:rFonts w:ascii="Century Gothic" w:hAnsi="Century Gothic"/>
          <w:b/>
          <w:sz w:val="24"/>
          <w:szCs w:val="24"/>
        </w:rPr>
      </w:pPr>
      <w:r w:rsidRPr="005813EB">
        <w:rPr>
          <w:rFonts w:ascii="Century Gothic" w:hAnsi="Century Gothic"/>
          <w:b/>
          <w:sz w:val="24"/>
          <w:szCs w:val="24"/>
        </w:rPr>
        <w:t>H. CONGRESO DEL ESTADO DE CHIHUAHUA.</w:t>
      </w:r>
    </w:p>
    <w:p w14:paraId="706ADDEC" w14:textId="77777777" w:rsidR="00B7157E" w:rsidRPr="00B7157E" w:rsidRDefault="005813EB" w:rsidP="00DB0F90">
      <w:pPr>
        <w:spacing w:line="360" w:lineRule="auto"/>
        <w:jc w:val="both"/>
        <w:rPr>
          <w:rFonts w:ascii="Century Gothic" w:hAnsi="Century Gothic"/>
          <w:b/>
          <w:sz w:val="24"/>
          <w:szCs w:val="24"/>
        </w:rPr>
      </w:pPr>
      <w:r w:rsidRPr="005813EB">
        <w:rPr>
          <w:rFonts w:ascii="Century Gothic" w:hAnsi="Century Gothic"/>
          <w:b/>
          <w:sz w:val="24"/>
          <w:szCs w:val="24"/>
        </w:rPr>
        <w:t>P R E S E N T E.</w:t>
      </w:r>
    </w:p>
    <w:p w14:paraId="4ED09F25" w14:textId="77777777" w:rsidR="00B7157E" w:rsidRPr="00B7157E" w:rsidRDefault="00B7157E" w:rsidP="00B7157E">
      <w:pPr>
        <w:spacing w:after="0" w:line="276" w:lineRule="auto"/>
        <w:jc w:val="both"/>
        <w:rPr>
          <w:rFonts w:ascii="Century Gothic" w:eastAsia="MS Mincho" w:hAnsi="Century Gothic" w:cs="Arial"/>
          <w:b/>
          <w:sz w:val="24"/>
          <w:szCs w:val="24"/>
          <w:lang w:eastAsia="es-ES"/>
        </w:rPr>
      </w:pPr>
      <w:r w:rsidRPr="00B7157E">
        <w:rPr>
          <w:rFonts w:ascii="Century Gothic" w:eastAsia="MS Mincho" w:hAnsi="Century Gothic" w:cs="Arial"/>
          <w:sz w:val="24"/>
          <w:szCs w:val="24"/>
          <w:lang w:eastAsia="es-ES"/>
        </w:rPr>
        <w:t xml:space="preserve">Los que suscriben, </w:t>
      </w:r>
      <w:r w:rsidRPr="00B7157E">
        <w:rPr>
          <w:rFonts w:ascii="Century Gothic" w:eastAsia="MS Mincho" w:hAnsi="Century Gothic" w:cs="Arial"/>
          <w:b/>
          <w:bCs/>
          <w:sz w:val="24"/>
          <w:szCs w:val="24"/>
          <w:lang w:eastAsia="es-ES"/>
        </w:rPr>
        <w:t>Óscar Daniel Avitia Arellanes,</w:t>
      </w:r>
      <w:r w:rsidRPr="00B7157E">
        <w:rPr>
          <w:rFonts w:ascii="Century Gothic" w:eastAsia="MS Mincho" w:hAnsi="Century Gothic" w:cs="Arial"/>
          <w:sz w:val="24"/>
          <w:szCs w:val="24"/>
          <w:lang w:eastAsia="es-ES"/>
        </w:rPr>
        <w:t xml:space="preserve"> </w:t>
      </w:r>
      <w:r w:rsidRPr="00B7157E">
        <w:rPr>
          <w:rFonts w:ascii="Century Gothic" w:eastAsia="MS Mincho" w:hAnsi="Century Gothic" w:cs="Arial"/>
          <w:b/>
          <w:bCs/>
          <w:sz w:val="24"/>
          <w:szCs w:val="24"/>
          <w:lang w:eastAsia="es-ES"/>
        </w:rPr>
        <w:t xml:space="preserve">Leticia Ortega Máynez, Rosana Díaz Reyes, Gustavo De la Rosa </w:t>
      </w:r>
      <w:proofErr w:type="spellStart"/>
      <w:r w:rsidRPr="00B7157E">
        <w:rPr>
          <w:rFonts w:ascii="Century Gothic" w:eastAsia="MS Mincho" w:hAnsi="Century Gothic" w:cs="Arial"/>
          <w:b/>
          <w:bCs/>
          <w:sz w:val="24"/>
          <w:szCs w:val="24"/>
          <w:lang w:eastAsia="es-ES"/>
        </w:rPr>
        <w:t>Hickerson</w:t>
      </w:r>
      <w:proofErr w:type="spellEnd"/>
      <w:r w:rsidRPr="00B7157E">
        <w:rPr>
          <w:rFonts w:ascii="Century Gothic" w:eastAsia="MS Mincho" w:hAnsi="Century Gothic" w:cs="Arial"/>
          <w:b/>
          <w:bCs/>
          <w:sz w:val="24"/>
          <w:szCs w:val="24"/>
          <w:lang w:eastAsia="es-ES"/>
        </w:rPr>
        <w:t>, Edin Cuauhtémoc Estrada Sotelo, Magdalena Rentería Pérez, María Antonieta Pére</w:t>
      </w:r>
      <w:r w:rsidRPr="003709C7">
        <w:rPr>
          <w:rFonts w:ascii="Century Gothic" w:eastAsia="MS Mincho" w:hAnsi="Century Gothic" w:cs="Arial"/>
          <w:b/>
          <w:bCs/>
          <w:sz w:val="24"/>
          <w:szCs w:val="24"/>
          <w:lang w:eastAsia="es-ES"/>
        </w:rPr>
        <w:t xml:space="preserve">z Reyes, </w:t>
      </w:r>
      <w:r w:rsidR="00955394" w:rsidRPr="003709C7">
        <w:rPr>
          <w:rFonts w:ascii="Century Gothic" w:eastAsia="MS Mincho" w:hAnsi="Century Gothic" w:cs="Arial"/>
          <w:b/>
          <w:bCs/>
          <w:sz w:val="24"/>
          <w:szCs w:val="24"/>
          <w:lang w:eastAsia="es-ES"/>
        </w:rPr>
        <w:t>América</w:t>
      </w:r>
      <w:r w:rsidRPr="003709C7">
        <w:rPr>
          <w:rFonts w:ascii="Century Gothic" w:eastAsia="MS Mincho" w:hAnsi="Century Gothic" w:cs="Arial"/>
          <w:b/>
          <w:bCs/>
          <w:sz w:val="24"/>
          <w:szCs w:val="24"/>
          <w:lang w:eastAsia="es-ES"/>
        </w:rPr>
        <w:t xml:space="preserve"> </w:t>
      </w:r>
      <w:r w:rsidR="00955394" w:rsidRPr="003709C7">
        <w:rPr>
          <w:rFonts w:ascii="Century Gothic" w:eastAsia="MS Mincho" w:hAnsi="Century Gothic" w:cs="Arial"/>
          <w:b/>
          <w:bCs/>
          <w:sz w:val="24"/>
          <w:szCs w:val="24"/>
          <w:lang w:eastAsia="es-ES"/>
        </w:rPr>
        <w:t>García</w:t>
      </w:r>
      <w:r w:rsidRPr="003709C7">
        <w:rPr>
          <w:rFonts w:ascii="Century Gothic" w:eastAsia="MS Mincho" w:hAnsi="Century Gothic" w:cs="Arial"/>
          <w:b/>
          <w:bCs/>
          <w:sz w:val="24"/>
          <w:szCs w:val="24"/>
          <w:lang w:eastAsia="es-ES"/>
        </w:rPr>
        <w:t xml:space="preserve"> Soto</w:t>
      </w:r>
      <w:r w:rsidRPr="00B7157E">
        <w:rPr>
          <w:rFonts w:ascii="Century Gothic" w:eastAsia="MS Mincho" w:hAnsi="Century Gothic" w:cs="Arial"/>
          <w:b/>
          <w:bCs/>
          <w:sz w:val="24"/>
          <w:szCs w:val="24"/>
          <w:lang w:eastAsia="es-ES"/>
        </w:rPr>
        <w:t xml:space="preserve">, Benjamín Carrera Chávez y David Oscar Castrejón Rivas, </w:t>
      </w:r>
      <w:r w:rsidRPr="00B7157E">
        <w:rPr>
          <w:rFonts w:ascii="Century Gothic" w:eastAsia="Times New Roman" w:hAnsi="Century Gothic" w:cs="Arial"/>
          <w:bCs/>
          <w:sz w:val="24"/>
          <w:szCs w:val="24"/>
          <w:lang w:eastAsia="es-ES"/>
        </w:rPr>
        <w:t>en nuestro carácter de Diputados de la</w:t>
      </w:r>
      <w:r w:rsidRPr="00B7157E">
        <w:rPr>
          <w:rFonts w:ascii="Century Gothic" w:eastAsia="Times New Roman" w:hAnsi="Century Gothic" w:cs="Arial"/>
          <w:sz w:val="24"/>
          <w:szCs w:val="24"/>
          <w:lang w:eastAsia="es-ES"/>
        </w:rPr>
        <w:t xml:space="preserve"> </w:t>
      </w:r>
      <w:r w:rsidRPr="00B7157E">
        <w:rPr>
          <w:rFonts w:ascii="Century Gothic" w:eastAsia="MS Mincho" w:hAnsi="Century Gothic" w:cs="Arial"/>
          <w:sz w:val="24"/>
          <w:szCs w:val="24"/>
          <w:lang w:eastAsia="es-ES"/>
        </w:rPr>
        <w:t xml:space="preserve">Sexagésima Séptima Legislatura del Honorable Congreso del Estado de Chihuahua e integrantes del Grupo Parlamentario de Morena,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presentar una </w:t>
      </w:r>
      <w:r w:rsidRPr="00B7157E">
        <w:rPr>
          <w:rFonts w:ascii="Century Gothic" w:eastAsia="MS Mincho" w:hAnsi="Century Gothic" w:cs="Arial"/>
          <w:b/>
          <w:bCs/>
          <w:sz w:val="24"/>
          <w:szCs w:val="24"/>
          <w:lang w:eastAsia="es-ES"/>
        </w:rPr>
        <w:t>iniciativa con el carácter de DECRETO</w:t>
      </w:r>
      <w:r w:rsidRPr="00B7157E">
        <w:rPr>
          <w:rFonts w:ascii="Century Gothic" w:eastAsia="MS Mincho" w:hAnsi="Century Gothic" w:cs="Arial"/>
          <w:b/>
          <w:sz w:val="24"/>
          <w:szCs w:val="24"/>
          <w:lang w:eastAsia="es-ES"/>
        </w:rPr>
        <w:t xml:space="preserve">, </w:t>
      </w:r>
      <w:r w:rsidRPr="00B7157E">
        <w:rPr>
          <w:rFonts w:ascii="Century Gothic" w:eastAsia="MS Mincho" w:hAnsi="Century Gothic" w:cs="Arial"/>
          <w:bCs/>
          <w:sz w:val="24"/>
          <w:szCs w:val="24"/>
          <w:lang w:eastAsia="es-ES"/>
        </w:rPr>
        <w:t>a</w:t>
      </w:r>
      <w:r w:rsidRPr="003709C7">
        <w:rPr>
          <w:rFonts w:ascii="Century Gothic" w:eastAsia="MS Mincho" w:hAnsi="Century Gothic" w:cs="Arial"/>
          <w:bCs/>
          <w:sz w:val="24"/>
          <w:szCs w:val="24"/>
          <w:lang w:eastAsia="es-ES"/>
        </w:rPr>
        <w:t xml:space="preserve"> efecto de que se</w:t>
      </w:r>
      <w:r w:rsidRPr="003709C7">
        <w:rPr>
          <w:rFonts w:ascii="Century Gothic" w:eastAsia="MS Mincho" w:hAnsi="Century Gothic" w:cs="Arial"/>
          <w:b/>
          <w:bCs/>
          <w:sz w:val="24"/>
          <w:szCs w:val="24"/>
          <w:lang w:eastAsia="es-ES"/>
        </w:rPr>
        <w:t xml:space="preserve"> </w:t>
      </w:r>
      <w:r w:rsidRPr="003709C7">
        <w:rPr>
          <w:rFonts w:ascii="Century Gothic" w:hAnsi="Century Gothic"/>
          <w:sz w:val="24"/>
          <w:szCs w:val="24"/>
        </w:rPr>
        <w:t>reformen los artículos 1, segundo párrafo; 4, primero y segundo párrafos; 9, fracciones IV y V; 10; 12 BIS, fracción I; 13, fracción XLIX; 24-A, primer párrafo y fracción II; 24-B, primer y sexto párrafos; 25, fracciones I, IX, X y XIV; 32, 45; 46, fracciones 1 y VII; 56, párrafo primero; Capítulo IV, la denominación de la Sección VIII; 63; Capítulo IV, la denominación de las Secciones IX y XI; 80, párrafo primero; 130, fracción XII; 131, fracción 1; 136, fracción VI; 138, primer párrafo; del Capítulo VIII, se reforme la Sección II, para quedar como Capítulo IX, que consta de cuatro Secciones; 151, primer párrafo; 152, 153, 154, 155, 156, 157, 158, 158 BIS, 158 TER; de los actuales Capítulos IX y X, se recorre la numeración, para quedar como Capítulos X y XI; del Título Segundo, se modifique su denominación, reestructurándolo con nuevos Capítulos</w:t>
      </w:r>
      <w:r w:rsidR="00DB0F90">
        <w:rPr>
          <w:rFonts w:ascii="Century Gothic" w:hAnsi="Century Gothic"/>
          <w:sz w:val="24"/>
          <w:szCs w:val="24"/>
        </w:rPr>
        <w:t xml:space="preserve"> y Secciones; 179, 180, 181</w:t>
      </w:r>
      <w:r w:rsidRPr="003709C7">
        <w:rPr>
          <w:rFonts w:ascii="Century Gothic" w:hAnsi="Century Gothic"/>
          <w:sz w:val="24"/>
          <w:szCs w:val="24"/>
        </w:rPr>
        <w:t xml:space="preserve">, 183, 184, 185, 186, 187, 188, 189, 190, 191, 192, 193, 194, 195 y 196. Se adicionen los artículos 1, tercer párrafo; 3, tercer y cuarto párrafos; 4, tercer y cuarto párrafos; 8, fracción XXIV; 9, fracciones VI, VII, VIII y IX; 13, fracciones LVII, LVIII, LIX, LX, LXI y LXII; 14 BIS; 25, fracciones XV y XVI; 25 BIS; 27, fracción IV, un segundo párrafo; 32, segundo párrafo; 33, segundo y tercer párrafos; 59, segundo párrafo; 63, segundo párrafo; 65, segundo párrafo; 71 BIS; 71 TER; 73 BIS; 78, segundo párrafo; 96, segundo párrafo; 96 BIS; 96 TER; 111 BIS; 131, fracción XI; 134, fracción VII; 156 BIS y 181 BIS; el TÍTULO TERCERO. Y se deroguen los artículos 13, fracción XLVI; 15, tercer párrafo; 24-B, cuarto párrafo; 138, segundo, tercero, cuarto y quinto párrafos; 151, segundo y tercer párrafos; 151 BIS, 153 BIS, 197, 198, 199, 200, 201, 202, 203, 204, 205, 206, </w:t>
      </w:r>
      <w:r w:rsidRPr="003709C7">
        <w:rPr>
          <w:rFonts w:ascii="Century Gothic" w:hAnsi="Century Gothic"/>
          <w:sz w:val="24"/>
          <w:szCs w:val="24"/>
        </w:rPr>
        <w:lastRenderedPageBreak/>
        <w:t>207, 208, 209, 210, 211, 212, 213, 214, 215, 216, 217, 218, 219, 220, 221, 222, 223 224, 225, 226, 227, 228, 229, 230, 231, 232, 233 y 234, todos de la Ley Estatal de Educación</w:t>
      </w:r>
      <w:r w:rsidRPr="00B7157E">
        <w:rPr>
          <w:rFonts w:ascii="Century Gothic" w:eastAsia="MS Mincho" w:hAnsi="Century Gothic" w:cs="Arial"/>
          <w:b/>
          <w:sz w:val="24"/>
          <w:szCs w:val="24"/>
          <w:lang w:eastAsia="es-ES"/>
        </w:rPr>
        <w:t>,</w:t>
      </w:r>
      <w:r w:rsidRPr="00B7157E">
        <w:rPr>
          <w:rFonts w:ascii="Century Gothic" w:eastAsia="MS Mincho" w:hAnsi="Century Gothic" w:cs="Arial"/>
          <w:sz w:val="24"/>
          <w:szCs w:val="24"/>
          <w:lang w:eastAsia="es-ES"/>
        </w:rPr>
        <w:t xml:space="preserve"> lo anterior con sustento en la siguiente:</w:t>
      </w:r>
    </w:p>
    <w:p w14:paraId="34762463" w14:textId="77777777" w:rsidR="00B7157E" w:rsidRPr="00B7157E" w:rsidRDefault="00B7157E" w:rsidP="00B7157E">
      <w:pPr>
        <w:spacing w:after="0" w:line="276" w:lineRule="auto"/>
        <w:jc w:val="both"/>
        <w:rPr>
          <w:rFonts w:ascii="Century Gothic" w:eastAsia="MS Mincho" w:hAnsi="Century Gothic" w:cs="Arial"/>
          <w:sz w:val="24"/>
          <w:szCs w:val="24"/>
          <w:lang w:eastAsia="es-ES"/>
        </w:rPr>
      </w:pPr>
    </w:p>
    <w:p w14:paraId="335EAA8E" w14:textId="77777777" w:rsidR="005813EB" w:rsidRPr="005813EB" w:rsidRDefault="005813EB" w:rsidP="005813EB">
      <w:pPr>
        <w:spacing w:line="360" w:lineRule="auto"/>
        <w:jc w:val="both"/>
        <w:rPr>
          <w:rFonts w:ascii="Century Gothic" w:hAnsi="Century Gothic"/>
          <w:b/>
          <w:sz w:val="24"/>
          <w:szCs w:val="24"/>
        </w:rPr>
      </w:pPr>
    </w:p>
    <w:p w14:paraId="51C1D317" w14:textId="77777777" w:rsidR="00F30C3C" w:rsidRPr="003709C7" w:rsidRDefault="005813EB" w:rsidP="00553FE8">
      <w:pPr>
        <w:spacing w:line="360" w:lineRule="auto"/>
        <w:jc w:val="center"/>
        <w:rPr>
          <w:rFonts w:ascii="Century Gothic" w:hAnsi="Century Gothic"/>
          <w:b/>
          <w:sz w:val="24"/>
          <w:szCs w:val="24"/>
        </w:rPr>
      </w:pPr>
      <w:r w:rsidRPr="005813EB">
        <w:rPr>
          <w:rFonts w:ascii="Century Gothic" w:hAnsi="Century Gothic"/>
          <w:b/>
          <w:sz w:val="24"/>
          <w:szCs w:val="24"/>
        </w:rPr>
        <w:t>EXPOSICIÓN DE MOTIVOS:</w:t>
      </w:r>
    </w:p>
    <w:p w14:paraId="13CBFA77" w14:textId="77777777" w:rsidR="00553FE8" w:rsidRPr="003709C7" w:rsidRDefault="00553FE8" w:rsidP="00553FE8">
      <w:pPr>
        <w:spacing w:line="360" w:lineRule="auto"/>
        <w:jc w:val="center"/>
        <w:rPr>
          <w:rFonts w:ascii="Century Gothic" w:hAnsi="Century Gothic"/>
          <w:sz w:val="24"/>
          <w:szCs w:val="24"/>
        </w:rPr>
      </w:pPr>
    </w:p>
    <w:p w14:paraId="13546A4B"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1.- El 15 de mayo de 2019 se publicó en el Diario Oficial de la Federación el Decreto por el que se reforman, adicionan y derogan diversas disposiciones de los artículos 3°, 31 y 73 de la Constitución Política de los Estados Unidos Mexicanos, en materia educativa. El artículo Octavo Transitorio de ese ordenamiento estableció el plazo de un año para que las legislaturas de los Estados armonizaran el marco jurídico en la materia, de conformidad con ese Decreto. </w:t>
      </w:r>
    </w:p>
    <w:p w14:paraId="287E8887"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2.- El 30 de septiembre de 2019 se publicó en el Diario Oficial de la Federación el Decreto por el que se expide la Ley General de Educación, cuyo artículo Sexto Transitorio estableció la obligación para las entidades federativas de adaptar sus normas estatales a lo previsto en la legislación general. En misma fecha fue publicado el Decreto por el que se expide la Ley Reglamentaria del Artículo 3° de la Constitución Política de los Estados Unidos Mexicanos, en materia de Mejora Continua de la Educación, así como el Decreto por el que se expide la Ley General del Sistema para la Carrera de las Maestras y los Maestros. </w:t>
      </w:r>
    </w:p>
    <w:p w14:paraId="19486F3F"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3.- El 12 de mayo de 2020, el Diputado a la Sexagésima Sexta Legislatura, René Frías Bencomo, presentó la Iniciativa con carácter de decreto, a fin de reformar, adicionar y derogar diversas disposiciones de la Ley Estatal de Educación, para armonizar dicho cuerpo normativo con las reformas </w:t>
      </w:r>
      <w:r w:rsidRPr="003709C7">
        <w:rPr>
          <w:rFonts w:ascii="Century Gothic" w:hAnsi="Century Gothic"/>
          <w:sz w:val="24"/>
          <w:szCs w:val="24"/>
        </w:rPr>
        <w:lastRenderedPageBreak/>
        <w:t xml:space="preserve">constitucionales en materia educativa, derechos de los trabajadores de la educación y otras disposiciones. </w:t>
      </w:r>
    </w:p>
    <w:p w14:paraId="0AE09350"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4.- El 13 de mayo de 2020, los Diputados a la Sexagésima Sexta Legislatura, Francisco Humberto Chávez Herrera y Miguel Ángel Colunga Martínez, presentaron Iniciativa con carácter de decreto, a efecto de expedir la Ley de Educación del Estado de Chihuahua.</w:t>
      </w:r>
    </w:p>
    <w:p w14:paraId="64802C37"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 5.- Las iniciativas previamente descritas fueron turnadas a la Comisión de Educación y Cultura de ese H. Congreso del Estado, para su estudio, análisis y posterior dictaminación. </w:t>
      </w:r>
    </w:p>
    <w:p w14:paraId="242D371D"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6.- El dictamen de mérito fue aprobado por la mayoría de los integrantes de esa Comisión en reunión de fecha 8 de junio de 2020.</w:t>
      </w:r>
    </w:p>
    <w:p w14:paraId="75A8140C"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 7.- En Sesión Plenaria correspondiente al Sexto Periodo Extraordinario de Sesiones, dentro del Segundo Año de Ejercicio Constitucional, de fecha 12 de junio de 2020, la Comisión de Educación y Cultura sometió a consideración del Pleno el contenido del proyecto de Decreto. </w:t>
      </w:r>
    </w:p>
    <w:p w14:paraId="4C15F942"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 xml:space="preserve">8.- En dicha Sesión Plenaria, el Diputado Fernando Álvarez Monje presentó una reserva a los artículos 5 fracción IV, 51 segundo párrafo, 51 Ter, 134 fracción VII segundo párrafo y 192 del dictamen citado. De igual forma, el Diputado Gustavo de la Rosa </w:t>
      </w:r>
      <w:proofErr w:type="spellStart"/>
      <w:r w:rsidRPr="003709C7">
        <w:rPr>
          <w:rFonts w:ascii="Century Gothic" w:hAnsi="Century Gothic"/>
          <w:sz w:val="24"/>
          <w:szCs w:val="24"/>
        </w:rPr>
        <w:t>Hickerson</w:t>
      </w:r>
      <w:proofErr w:type="spellEnd"/>
      <w:r w:rsidRPr="003709C7">
        <w:rPr>
          <w:rFonts w:ascii="Century Gothic" w:hAnsi="Century Gothic"/>
          <w:sz w:val="24"/>
          <w:szCs w:val="24"/>
        </w:rPr>
        <w:t xml:space="preserve"> presentó una reserva al artículo Tercero Transitorio. </w:t>
      </w:r>
    </w:p>
    <w:p w14:paraId="02083E35" w14:textId="77777777" w:rsidR="00F30C3C"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9.- El dictamen de mérito fue aprobado mediante el Decreto LXVI/RFLEY/0723/2020 VI P.E., habiendo sido admitida la reserva antes descrita sobre los artículos 5 fracción IV, 51 segundo párrafo, 51 Ter, 134 fracción VII segundo párrafo y 192. 10.- Con fecha 19 de junio de 2020, el Decreto en cuestión fue recibido por el Ejecutivo del Estado para su correspondiente promulgación y publicación,</w:t>
      </w:r>
      <w:r w:rsidR="00B7157E" w:rsidRPr="003709C7">
        <w:rPr>
          <w:rFonts w:ascii="Century Gothic" w:hAnsi="Century Gothic"/>
          <w:sz w:val="24"/>
          <w:szCs w:val="24"/>
        </w:rPr>
        <w:t xml:space="preserve"> mediante oficio 829- 1/2020, </w:t>
      </w:r>
      <w:r w:rsidRPr="003709C7">
        <w:rPr>
          <w:rFonts w:ascii="Century Gothic" w:hAnsi="Century Gothic"/>
          <w:sz w:val="24"/>
          <w:szCs w:val="24"/>
        </w:rPr>
        <w:t>suscrito por el Diputado René Frías Bencomo.</w:t>
      </w:r>
    </w:p>
    <w:p w14:paraId="114739F1" w14:textId="77777777" w:rsidR="00F30C3C" w:rsidRPr="003709C7" w:rsidRDefault="00553FE8" w:rsidP="003709C7">
      <w:pPr>
        <w:spacing w:line="360" w:lineRule="auto"/>
        <w:jc w:val="both"/>
        <w:rPr>
          <w:rFonts w:ascii="Century Gothic" w:hAnsi="Century Gothic"/>
          <w:sz w:val="24"/>
          <w:szCs w:val="24"/>
        </w:rPr>
      </w:pPr>
      <w:r w:rsidRPr="003709C7">
        <w:rPr>
          <w:rFonts w:ascii="Century Gothic" w:hAnsi="Century Gothic"/>
          <w:sz w:val="24"/>
          <w:szCs w:val="24"/>
        </w:rPr>
        <w:lastRenderedPageBreak/>
        <w:t xml:space="preserve">10.-  En los días posteriores a la aprobación del citado decreto, se manifestó un amplio sector de la sociedad </w:t>
      </w:r>
      <w:r w:rsidR="00434CB5" w:rsidRPr="003709C7">
        <w:rPr>
          <w:rFonts w:ascii="Century Gothic" w:hAnsi="Century Gothic"/>
          <w:sz w:val="24"/>
          <w:szCs w:val="24"/>
        </w:rPr>
        <w:t>y un número considerable de asociaciones civiles en rechazo, lo anterior por diversas razones. En atención a esto, e</w:t>
      </w:r>
      <w:r w:rsidRPr="003709C7">
        <w:rPr>
          <w:rFonts w:ascii="Century Gothic" w:hAnsi="Century Gothic"/>
          <w:sz w:val="24"/>
          <w:szCs w:val="24"/>
        </w:rPr>
        <w:t xml:space="preserve">l 16 de julio de 2020  el entonces Gobernador Constitucional del Estado de Chihuahua, Javier Corral Jurado, </w:t>
      </w:r>
      <w:r w:rsidR="00434CB5" w:rsidRPr="003709C7">
        <w:rPr>
          <w:rFonts w:ascii="Century Gothic" w:hAnsi="Century Gothic"/>
          <w:sz w:val="24"/>
          <w:szCs w:val="24"/>
        </w:rPr>
        <w:t>presentó</w:t>
      </w:r>
      <w:r w:rsidRPr="003709C7">
        <w:rPr>
          <w:rFonts w:ascii="Century Gothic" w:hAnsi="Century Gothic"/>
          <w:sz w:val="24"/>
          <w:szCs w:val="24"/>
        </w:rPr>
        <w:t xml:space="preserve">  las observaciones al Decreto LXVI/RFLEY/0723/2020 VI P.E., por medio del cual se reforman, adicionan y derogan diversos artículos de la Ley Estatal de Educación</w:t>
      </w:r>
      <w:r w:rsidR="00434CB5" w:rsidRPr="003709C7">
        <w:rPr>
          <w:rFonts w:ascii="Century Gothic" w:hAnsi="Century Gothic"/>
          <w:sz w:val="24"/>
          <w:szCs w:val="24"/>
        </w:rPr>
        <w:t xml:space="preserve">, lo anterior, </w:t>
      </w:r>
      <w:r w:rsidRPr="003709C7">
        <w:rPr>
          <w:rFonts w:ascii="Century Gothic" w:hAnsi="Century Gothic"/>
          <w:sz w:val="24"/>
          <w:szCs w:val="24"/>
        </w:rPr>
        <w:t xml:space="preserve">con fundamento en lo </w:t>
      </w:r>
      <w:r w:rsidR="00434CB5" w:rsidRPr="003709C7">
        <w:rPr>
          <w:rFonts w:ascii="Century Gothic" w:hAnsi="Century Gothic"/>
          <w:sz w:val="24"/>
          <w:szCs w:val="24"/>
        </w:rPr>
        <w:t xml:space="preserve">dispuesto por los artículos 70 y  71 y 93 fracción VII </w:t>
      </w:r>
      <w:r w:rsidRPr="003709C7">
        <w:rPr>
          <w:rFonts w:ascii="Century Gothic" w:hAnsi="Century Gothic"/>
          <w:sz w:val="24"/>
          <w:szCs w:val="24"/>
        </w:rPr>
        <w:t>de la Constitución Po</w:t>
      </w:r>
      <w:r w:rsidR="00434CB5" w:rsidRPr="003709C7">
        <w:rPr>
          <w:rFonts w:ascii="Century Gothic" w:hAnsi="Century Gothic"/>
          <w:sz w:val="24"/>
          <w:szCs w:val="24"/>
        </w:rPr>
        <w:t>lítica del Estado de Chihuahua, los cuales disponen que:</w:t>
      </w:r>
    </w:p>
    <w:p w14:paraId="74869F5A" w14:textId="77777777" w:rsidR="00434CB5"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ARTICULO 70. El Gobernador podrá, cuando estime conveniente, hacer observaciones a algún proyecto de</w:t>
      </w:r>
      <w:r w:rsidR="00434CB5" w:rsidRPr="003709C7">
        <w:rPr>
          <w:rFonts w:ascii="Century Gothic" w:hAnsi="Century Gothic"/>
          <w:sz w:val="24"/>
          <w:szCs w:val="24"/>
        </w:rPr>
        <w:t xml:space="preserve"> </w:t>
      </w:r>
      <w:r w:rsidRPr="003709C7">
        <w:rPr>
          <w:rFonts w:ascii="Century Gothic" w:hAnsi="Century Gothic"/>
          <w:sz w:val="24"/>
          <w:szCs w:val="24"/>
        </w:rPr>
        <w:t>ley o de decreto, suspender su promulgación y devolverlo con ellas dentro de los treinta días naturales, siguientes a aquel en que lo reciba. Si durante ese lapso se hubiere clausurado el período de sesiones la</w:t>
      </w:r>
      <w:r w:rsidR="00434CB5" w:rsidRPr="003709C7">
        <w:rPr>
          <w:rFonts w:ascii="Century Gothic" w:hAnsi="Century Gothic"/>
          <w:sz w:val="24"/>
          <w:szCs w:val="24"/>
        </w:rPr>
        <w:t xml:space="preserve"> </w:t>
      </w:r>
      <w:r w:rsidRPr="003709C7">
        <w:rPr>
          <w:rFonts w:ascii="Century Gothic" w:hAnsi="Century Gothic"/>
          <w:sz w:val="24"/>
          <w:szCs w:val="24"/>
        </w:rPr>
        <w:t>devolución se ha</w:t>
      </w:r>
      <w:r w:rsidR="00434CB5" w:rsidRPr="003709C7">
        <w:rPr>
          <w:rFonts w:ascii="Century Gothic" w:hAnsi="Century Gothic"/>
          <w:sz w:val="24"/>
          <w:szCs w:val="24"/>
        </w:rPr>
        <w:t xml:space="preserve">rá a la Diputación Permanente. </w:t>
      </w:r>
    </w:p>
    <w:p w14:paraId="6B9C3781" w14:textId="77777777" w:rsidR="0013670B" w:rsidRPr="003709C7" w:rsidRDefault="00F30C3C" w:rsidP="003709C7">
      <w:pPr>
        <w:spacing w:line="360" w:lineRule="auto"/>
        <w:jc w:val="both"/>
        <w:rPr>
          <w:rFonts w:ascii="Century Gothic" w:hAnsi="Century Gothic"/>
          <w:sz w:val="24"/>
          <w:szCs w:val="24"/>
        </w:rPr>
      </w:pPr>
      <w:r w:rsidRPr="003709C7">
        <w:rPr>
          <w:rFonts w:ascii="Century Gothic" w:hAnsi="Century Gothic"/>
          <w:sz w:val="24"/>
          <w:szCs w:val="24"/>
        </w:rPr>
        <w:t>ARTICULO 71. El proyecto de ley o de decreto devuelto al Congreso con observaciones deberá ser discutido</w:t>
      </w:r>
      <w:r w:rsidR="00553FE8" w:rsidRPr="003709C7">
        <w:rPr>
          <w:rFonts w:ascii="Century Gothic" w:hAnsi="Century Gothic"/>
          <w:sz w:val="24"/>
          <w:szCs w:val="24"/>
        </w:rPr>
        <w:t xml:space="preserve"> </w:t>
      </w:r>
      <w:r w:rsidRPr="003709C7">
        <w:rPr>
          <w:rFonts w:ascii="Century Gothic" w:hAnsi="Century Gothic"/>
          <w:sz w:val="24"/>
          <w:szCs w:val="24"/>
        </w:rPr>
        <w:t>de nuevo en cuanto a éstas, previo dictamen de la comisión respectiva, y si fuere confirmado por el voto de los dos tercios de los diputados presentes, o modificado de conformidad con las observaciones hechas, volverá al Gobernador, quien deberá promulgarlo y publicarlo sin más trámite</w:t>
      </w:r>
      <w:r w:rsidR="0013670B" w:rsidRPr="003709C7">
        <w:rPr>
          <w:rFonts w:ascii="Century Gothic" w:hAnsi="Century Gothic"/>
          <w:sz w:val="24"/>
          <w:szCs w:val="24"/>
        </w:rPr>
        <w:t>.</w:t>
      </w:r>
    </w:p>
    <w:p w14:paraId="630A3AC9" w14:textId="77777777" w:rsidR="00F30C3C" w:rsidRPr="003709C7" w:rsidRDefault="0013670B" w:rsidP="003709C7">
      <w:pPr>
        <w:spacing w:line="360" w:lineRule="auto"/>
        <w:jc w:val="both"/>
        <w:rPr>
          <w:rFonts w:ascii="Century Gothic" w:hAnsi="Century Gothic"/>
          <w:sz w:val="24"/>
          <w:szCs w:val="24"/>
          <w:shd w:val="clear" w:color="auto" w:fill="FFFFFF"/>
        </w:rPr>
      </w:pPr>
      <w:r w:rsidRPr="003709C7">
        <w:rPr>
          <w:rFonts w:ascii="Century Gothic" w:hAnsi="Century Gothic"/>
          <w:sz w:val="24"/>
          <w:szCs w:val="24"/>
          <w:shd w:val="clear" w:color="auto" w:fill="FFFFFF"/>
        </w:rPr>
        <w:t xml:space="preserve">11.- El 24 de agosto del 2020 la presidencia del Congreso de manera económica turnó la iniciativa a Comisión de Educación y Cultura, y posteriormente, el 22 de octubre se dio lectura al dictamen por medio del cual se daba respuesta a las observaciones realizadas por el Gobernador del Estado, respecto de la armonización de la Ley de Educación Estatal, el cual no fue aprobado, debido a que se necesitaban a favor las 2/3 partes </w:t>
      </w:r>
      <w:r w:rsidRPr="003709C7">
        <w:rPr>
          <w:rFonts w:ascii="Century Gothic" w:hAnsi="Century Gothic"/>
          <w:sz w:val="24"/>
          <w:szCs w:val="24"/>
          <w:shd w:val="clear" w:color="auto" w:fill="FFFFFF"/>
        </w:rPr>
        <w:lastRenderedPageBreak/>
        <w:t>de los votos emitidos, quedando la votación: 15 a favor, 5 en contra y 9 abstenciones.</w:t>
      </w:r>
    </w:p>
    <w:p w14:paraId="1A7E12A7" w14:textId="77777777" w:rsidR="00BB289C" w:rsidRPr="003709C7" w:rsidRDefault="0013670B" w:rsidP="003709C7">
      <w:pPr>
        <w:spacing w:line="360" w:lineRule="auto"/>
        <w:jc w:val="both"/>
        <w:rPr>
          <w:rFonts w:ascii="Century Gothic" w:hAnsi="Century Gothic"/>
          <w:sz w:val="24"/>
          <w:szCs w:val="24"/>
          <w:shd w:val="clear" w:color="auto" w:fill="FFFFFF"/>
        </w:rPr>
      </w:pPr>
      <w:r w:rsidRPr="003709C7">
        <w:rPr>
          <w:rFonts w:ascii="Century Gothic" w:hAnsi="Century Gothic"/>
          <w:sz w:val="24"/>
          <w:szCs w:val="24"/>
          <w:shd w:val="clear" w:color="auto" w:fill="FFFFFF"/>
        </w:rPr>
        <w:t>12.</w:t>
      </w:r>
      <w:r w:rsidR="00BB289C" w:rsidRPr="003709C7">
        <w:rPr>
          <w:rFonts w:ascii="Century Gothic" w:hAnsi="Century Gothic"/>
          <w:sz w:val="24"/>
          <w:szCs w:val="24"/>
          <w:shd w:val="clear" w:color="auto" w:fill="FFFFFF"/>
        </w:rPr>
        <w:t xml:space="preserve"> Desde entonces y hasta la fecha el tema de la armonización de la Ley de Educación de nuestro Estado ha quedado en la “congeladora”, situación que no debemos</w:t>
      </w:r>
      <w:r w:rsidR="00B7157E" w:rsidRPr="003709C7">
        <w:rPr>
          <w:rFonts w:ascii="Century Gothic" w:hAnsi="Century Gothic"/>
          <w:sz w:val="24"/>
          <w:szCs w:val="24"/>
          <w:shd w:val="clear" w:color="auto" w:fill="FFFFFF"/>
        </w:rPr>
        <w:t xml:space="preserve"> soslayar</w:t>
      </w:r>
      <w:r w:rsidR="001E3697" w:rsidRPr="003709C7">
        <w:rPr>
          <w:rFonts w:ascii="Century Gothic" w:hAnsi="Century Gothic"/>
          <w:sz w:val="24"/>
          <w:szCs w:val="24"/>
          <w:shd w:val="clear" w:color="auto" w:fill="FFFFFF"/>
        </w:rPr>
        <w:t>, es contraria a la Ley, dado que no debemos</w:t>
      </w:r>
      <w:r w:rsidR="00BB289C" w:rsidRPr="003709C7">
        <w:rPr>
          <w:rFonts w:ascii="Century Gothic" w:hAnsi="Century Gothic"/>
          <w:sz w:val="24"/>
          <w:szCs w:val="24"/>
          <w:shd w:val="clear" w:color="auto" w:fill="FFFFFF"/>
        </w:rPr>
        <w:t xml:space="preserve"> olvidar que el artículo </w:t>
      </w:r>
      <w:r w:rsidR="00BB289C" w:rsidRPr="003709C7">
        <w:rPr>
          <w:rFonts w:ascii="Century Gothic" w:hAnsi="Century Gothic"/>
          <w:sz w:val="24"/>
          <w:szCs w:val="24"/>
        </w:rPr>
        <w:t>Sexto Transitorio de la Ley General de Educación, misma que entro en vigor desde el 30 de septiembre del 2019, establece que las Legislaturas de los Estados deberán armonizar el marco jurídico de conformidad con el presente Decreto, dentro de los cien</w:t>
      </w:r>
      <w:r w:rsidR="001E3697" w:rsidRPr="003709C7">
        <w:rPr>
          <w:rFonts w:ascii="Century Gothic" w:hAnsi="Century Gothic"/>
          <w:sz w:val="24"/>
          <w:szCs w:val="24"/>
        </w:rPr>
        <w:t xml:space="preserve">to ochenta días siguientes a su </w:t>
      </w:r>
      <w:r w:rsidR="00BB289C" w:rsidRPr="003709C7">
        <w:rPr>
          <w:rFonts w:ascii="Century Gothic" w:hAnsi="Century Gothic"/>
          <w:sz w:val="24"/>
          <w:szCs w:val="24"/>
        </w:rPr>
        <w:t>entra</w:t>
      </w:r>
      <w:r w:rsidR="001E3697" w:rsidRPr="003709C7">
        <w:rPr>
          <w:rFonts w:ascii="Century Gothic" w:hAnsi="Century Gothic"/>
          <w:sz w:val="24"/>
          <w:szCs w:val="24"/>
        </w:rPr>
        <w:t>da en vigor</w:t>
      </w:r>
      <w:r w:rsidR="00BB289C" w:rsidRPr="003709C7">
        <w:rPr>
          <w:rFonts w:ascii="Century Gothic" w:hAnsi="Century Gothic"/>
          <w:sz w:val="24"/>
          <w:szCs w:val="24"/>
        </w:rPr>
        <w:t>, lo cual, nos pone en un estado de incumplimiento, de negligencia e ilegalidad.</w:t>
      </w:r>
    </w:p>
    <w:p w14:paraId="719E5E24" w14:textId="77777777" w:rsidR="00BB289C" w:rsidRPr="003709C7" w:rsidRDefault="000629AD" w:rsidP="003709C7">
      <w:pPr>
        <w:spacing w:line="360" w:lineRule="auto"/>
        <w:jc w:val="both"/>
        <w:rPr>
          <w:rFonts w:ascii="Century Gothic" w:hAnsi="Century Gothic" w:cs="Arial"/>
          <w:sz w:val="24"/>
          <w:szCs w:val="24"/>
          <w:shd w:val="clear" w:color="auto" w:fill="FAF8F6"/>
        </w:rPr>
      </w:pPr>
      <w:r w:rsidRPr="003709C7">
        <w:rPr>
          <w:rFonts w:ascii="Century Gothic" w:hAnsi="Century Gothic" w:cs="Arial"/>
          <w:sz w:val="24"/>
          <w:szCs w:val="24"/>
          <w:shd w:val="clear" w:color="auto" w:fill="FAF8F6"/>
        </w:rPr>
        <w:t xml:space="preserve">13. </w:t>
      </w:r>
      <w:r w:rsidR="001E3697" w:rsidRPr="003709C7">
        <w:rPr>
          <w:rFonts w:ascii="Century Gothic" w:hAnsi="Century Gothic" w:cs="Arial"/>
          <w:sz w:val="24"/>
          <w:szCs w:val="24"/>
          <w:shd w:val="clear" w:color="auto" w:fill="FAF8F6"/>
        </w:rPr>
        <w:t>Ahora bien, p</w:t>
      </w:r>
      <w:r w:rsidRPr="003709C7">
        <w:rPr>
          <w:rFonts w:ascii="Century Gothic" w:hAnsi="Century Gothic" w:cs="Arial"/>
          <w:sz w:val="24"/>
          <w:szCs w:val="24"/>
          <w:shd w:val="clear" w:color="auto" w:fill="FAF8F6"/>
        </w:rPr>
        <w:t>artiendo de la premisa de que</w:t>
      </w:r>
      <w:r w:rsidR="001E3697" w:rsidRPr="003709C7">
        <w:rPr>
          <w:rFonts w:ascii="Century Gothic" w:hAnsi="Century Gothic" w:cs="Arial"/>
          <w:sz w:val="24"/>
          <w:szCs w:val="24"/>
          <w:shd w:val="clear" w:color="auto" w:fill="FAF8F6"/>
        </w:rPr>
        <w:t xml:space="preserve"> ya</w:t>
      </w:r>
      <w:r w:rsidRPr="003709C7">
        <w:rPr>
          <w:rFonts w:ascii="Century Gothic" w:hAnsi="Century Gothic" w:cs="Arial"/>
          <w:sz w:val="24"/>
          <w:szCs w:val="24"/>
          <w:shd w:val="clear" w:color="auto" w:fill="FAF8F6"/>
        </w:rPr>
        <w:t xml:space="preserve"> </w:t>
      </w:r>
      <w:r w:rsidR="001901FB" w:rsidRPr="003709C7">
        <w:rPr>
          <w:rFonts w:ascii="Century Gothic" w:hAnsi="Century Gothic" w:cs="Arial"/>
          <w:sz w:val="24"/>
          <w:szCs w:val="24"/>
          <w:shd w:val="clear" w:color="auto" w:fill="FAF8F6"/>
        </w:rPr>
        <w:t>existe</w:t>
      </w:r>
      <w:r w:rsidRPr="003709C7">
        <w:rPr>
          <w:rFonts w:ascii="Century Gothic" w:hAnsi="Century Gothic" w:cs="Arial"/>
          <w:sz w:val="24"/>
          <w:szCs w:val="24"/>
          <w:shd w:val="clear" w:color="auto" w:fill="FAF8F6"/>
        </w:rPr>
        <w:t xml:space="preserve"> un trabajo previo</w:t>
      </w:r>
      <w:r w:rsidR="001901FB" w:rsidRPr="003709C7">
        <w:rPr>
          <w:rFonts w:ascii="Century Gothic" w:hAnsi="Century Gothic" w:cs="Arial"/>
          <w:sz w:val="24"/>
          <w:szCs w:val="24"/>
          <w:shd w:val="clear" w:color="auto" w:fill="FAF8F6"/>
        </w:rPr>
        <w:t>, h</w:t>
      </w:r>
      <w:r w:rsidRPr="003709C7">
        <w:rPr>
          <w:rFonts w:ascii="Century Gothic" w:hAnsi="Century Gothic" w:cs="Arial"/>
          <w:sz w:val="24"/>
          <w:szCs w:val="24"/>
          <w:shd w:val="clear" w:color="auto" w:fill="FAF8F6"/>
        </w:rPr>
        <w:t xml:space="preserve">emos </w:t>
      </w:r>
      <w:r w:rsidR="001901FB" w:rsidRPr="003709C7">
        <w:rPr>
          <w:rFonts w:ascii="Century Gothic" w:hAnsi="Century Gothic" w:cs="Arial"/>
          <w:sz w:val="24"/>
          <w:szCs w:val="24"/>
          <w:shd w:val="clear" w:color="auto" w:fill="FAF8F6"/>
        </w:rPr>
        <w:t>decidido</w:t>
      </w:r>
      <w:r w:rsidRPr="003709C7">
        <w:rPr>
          <w:rFonts w:ascii="Century Gothic" w:hAnsi="Century Gothic" w:cs="Arial"/>
          <w:sz w:val="24"/>
          <w:szCs w:val="24"/>
          <w:shd w:val="clear" w:color="auto" w:fill="FAF8F6"/>
        </w:rPr>
        <w:t xml:space="preserve"> tomar como punto de partida el contenido del decreto </w:t>
      </w:r>
      <w:r w:rsidR="001901FB" w:rsidRPr="003709C7">
        <w:rPr>
          <w:rFonts w:ascii="Century Gothic" w:hAnsi="Century Gothic"/>
          <w:sz w:val="24"/>
          <w:szCs w:val="24"/>
        </w:rPr>
        <w:t xml:space="preserve">LXVI/RFLEY/0723/2020 dado que </w:t>
      </w:r>
      <w:r w:rsidR="00BB289C" w:rsidRPr="003709C7">
        <w:rPr>
          <w:rFonts w:ascii="Century Gothic" w:hAnsi="Century Gothic" w:cs="Arial"/>
          <w:sz w:val="24"/>
          <w:szCs w:val="24"/>
          <w:shd w:val="clear" w:color="auto" w:fill="FAF8F6"/>
        </w:rPr>
        <w:t>s</w:t>
      </w:r>
      <w:r w:rsidR="001901FB" w:rsidRPr="003709C7">
        <w:rPr>
          <w:rFonts w:ascii="Century Gothic" w:hAnsi="Century Gothic" w:cs="Arial"/>
          <w:sz w:val="24"/>
          <w:szCs w:val="24"/>
          <w:shd w:val="clear" w:color="auto" w:fill="FAF8F6"/>
        </w:rPr>
        <w:t>e contemplaron varios aspectos que consideramos acertados. No obstante lo anterior,</w:t>
      </w:r>
      <w:r w:rsidR="001E3697" w:rsidRPr="003709C7">
        <w:rPr>
          <w:rFonts w:ascii="Century Gothic" w:hAnsi="Century Gothic" w:cs="Arial"/>
          <w:sz w:val="24"/>
          <w:szCs w:val="24"/>
          <w:shd w:val="clear" w:color="auto" w:fill="FAF8F6"/>
        </w:rPr>
        <w:t xml:space="preserve"> también</w:t>
      </w:r>
      <w:r w:rsidR="001901FB" w:rsidRPr="003709C7">
        <w:rPr>
          <w:rFonts w:ascii="Century Gothic" w:hAnsi="Century Gothic" w:cs="Arial"/>
          <w:sz w:val="24"/>
          <w:szCs w:val="24"/>
          <w:shd w:val="clear" w:color="auto" w:fill="FAF8F6"/>
        </w:rPr>
        <w:t xml:space="preserve"> </w:t>
      </w:r>
      <w:r w:rsidR="00B7157E" w:rsidRPr="003709C7">
        <w:rPr>
          <w:rFonts w:ascii="Century Gothic" w:hAnsi="Century Gothic" w:cs="Arial"/>
          <w:sz w:val="24"/>
          <w:szCs w:val="24"/>
          <w:shd w:val="clear" w:color="auto" w:fill="FAF8F6"/>
        </w:rPr>
        <w:t xml:space="preserve">debemos manifestar </w:t>
      </w:r>
      <w:r w:rsidR="001901FB" w:rsidRPr="003709C7">
        <w:rPr>
          <w:rFonts w:ascii="Century Gothic" w:hAnsi="Century Gothic" w:cs="Arial"/>
          <w:sz w:val="24"/>
          <w:szCs w:val="24"/>
          <w:shd w:val="clear" w:color="auto" w:fill="FAF8F6"/>
        </w:rPr>
        <w:t>que indudablemente esta propuesta debe c</w:t>
      </w:r>
      <w:r w:rsidR="001E3697" w:rsidRPr="003709C7">
        <w:rPr>
          <w:rFonts w:ascii="Century Gothic" w:hAnsi="Century Gothic" w:cs="Arial"/>
          <w:sz w:val="24"/>
          <w:szCs w:val="24"/>
          <w:shd w:val="clear" w:color="auto" w:fill="FAF8F6"/>
        </w:rPr>
        <w:t xml:space="preserve">orregirse, mejorarse e incluso </w:t>
      </w:r>
      <w:r w:rsidR="001901FB" w:rsidRPr="003709C7">
        <w:rPr>
          <w:rFonts w:ascii="Century Gothic" w:hAnsi="Century Gothic" w:cs="Arial"/>
          <w:sz w:val="24"/>
          <w:szCs w:val="24"/>
          <w:shd w:val="clear" w:color="auto" w:fill="FAF8F6"/>
        </w:rPr>
        <w:t>profesionalizarse</w:t>
      </w:r>
      <w:r w:rsidR="001E3697" w:rsidRPr="003709C7">
        <w:rPr>
          <w:rFonts w:ascii="Century Gothic" w:hAnsi="Century Gothic" w:cs="Arial"/>
          <w:sz w:val="24"/>
          <w:szCs w:val="24"/>
          <w:shd w:val="clear" w:color="auto" w:fill="FAF8F6"/>
        </w:rPr>
        <w:t xml:space="preserve">, </w:t>
      </w:r>
      <w:r w:rsidR="001901FB" w:rsidRPr="003709C7">
        <w:rPr>
          <w:rFonts w:ascii="Century Gothic" w:hAnsi="Century Gothic" w:cs="Arial"/>
          <w:sz w:val="24"/>
          <w:szCs w:val="24"/>
          <w:shd w:val="clear" w:color="auto" w:fill="FAF8F6"/>
        </w:rPr>
        <w:t xml:space="preserve">desde su proceso de elaboración </w:t>
      </w:r>
      <w:r w:rsidR="00B7157E" w:rsidRPr="003709C7">
        <w:rPr>
          <w:rFonts w:ascii="Century Gothic" w:hAnsi="Century Gothic" w:cs="Arial"/>
          <w:sz w:val="24"/>
          <w:szCs w:val="24"/>
          <w:shd w:val="clear" w:color="auto" w:fill="FAF8F6"/>
        </w:rPr>
        <w:t xml:space="preserve">hasta su contenido, precisamente para evitar </w:t>
      </w:r>
      <w:r w:rsidR="003709C7" w:rsidRPr="003709C7">
        <w:rPr>
          <w:rFonts w:ascii="Century Gothic" w:hAnsi="Century Gothic" w:cs="Arial"/>
          <w:sz w:val="24"/>
          <w:szCs w:val="24"/>
          <w:shd w:val="clear" w:color="auto" w:fill="FAF8F6"/>
        </w:rPr>
        <w:t>la armonización de la Ley Estatal se siga postergando.</w:t>
      </w:r>
    </w:p>
    <w:p w14:paraId="638E843C" w14:textId="77777777" w:rsidR="005813EB" w:rsidRPr="005813EB" w:rsidRDefault="001901FB" w:rsidP="003709C7">
      <w:pPr>
        <w:spacing w:line="360" w:lineRule="auto"/>
        <w:jc w:val="both"/>
        <w:rPr>
          <w:rFonts w:ascii="Century Gothic" w:eastAsia="Times New Roman" w:hAnsi="Century Gothic" w:cs="Times New Roman"/>
          <w:sz w:val="24"/>
          <w:szCs w:val="24"/>
          <w:lang w:eastAsia="es-MX"/>
        </w:rPr>
      </w:pPr>
      <w:r w:rsidRPr="003709C7">
        <w:rPr>
          <w:rFonts w:ascii="Century Gothic" w:hAnsi="Century Gothic" w:cs="Arial"/>
          <w:sz w:val="24"/>
          <w:szCs w:val="24"/>
          <w:shd w:val="clear" w:color="auto" w:fill="FAF8F6"/>
        </w:rPr>
        <w:t xml:space="preserve">14.- </w:t>
      </w:r>
      <w:r w:rsidRPr="003709C7">
        <w:rPr>
          <w:rFonts w:ascii="Century Gothic" w:hAnsi="Century Gothic"/>
          <w:sz w:val="24"/>
          <w:szCs w:val="24"/>
          <w:shd w:val="clear" w:color="auto" w:fill="FFFFFF"/>
        </w:rPr>
        <w:t xml:space="preserve"> </w:t>
      </w:r>
      <w:r w:rsidRPr="003709C7">
        <w:rPr>
          <w:rFonts w:ascii="Century Gothic" w:eastAsia="Times New Roman" w:hAnsi="Century Gothic" w:cs="Times New Roman"/>
          <w:sz w:val="24"/>
          <w:szCs w:val="24"/>
          <w:lang w:eastAsia="es-MX"/>
        </w:rPr>
        <w:t xml:space="preserve">A razón de esto, y reflexionando sobre la necesidad de </w:t>
      </w:r>
      <w:r w:rsidR="005813EB" w:rsidRPr="005813EB">
        <w:rPr>
          <w:rFonts w:ascii="Century Gothic" w:eastAsia="Times New Roman" w:hAnsi="Century Gothic" w:cs="Times New Roman"/>
          <w:sz w:val="24"/>
          <w:szCs w:val="24"/>
          <w:lang w:eastAsia="es-MX"/>
        </w:rPr>
        <w:t>someter al sistema educativo de Chihuahua a un proceso de evolución y actualización que</w:t>
      </w:r>
      <w:r w:rsidR="001E3697" w:rsidRPr="003709C7">
        <w:rPr>
          <w:rFonts w:ascii="Century Gothic" w:eastAsia="Times New Roman" w:hAnsi="Century Gothic" w:cs="Times New Roman"/>
          <w:sz w:val="24"/>
          <w:szCs w:val="24"/>
          <w:lang w:eastAsia="es-MX"/>
        </w:rPr>
        <w:t xml:space="preserve"> verdaderamente</w:t>
      </w:r>
      <w:r w:rsidR="005813EB" w:rsidRPr="005813EB">
        <w:rPr>
          <w:rFonts w:ascii="Century Gothic" w:eastAsia="Times New Roman" w:hAnsi="Century Gothic" w:cs="Times New Roman"/>
          <w:sz w:val="24"/>
          <w:szCs w:val="24"/>
          <w:lang w:eastAsia="es-MX"/>
        </w:rPr>
        <w:t xml:space="preserve"> se aj</w:t>
      </w:r>
      <w:r w:rsidRPr="003709C7">
        <w:rPr>
          <w:rFonts w:ascii="Century Gothic" w:eastAsia="Times New Roman" w:hAnsi="Century Gothic" w:cs="Times New Roman"/>
          <w:sz w:val="24"/>
          <w:szCs w:val="24"/>
          <w:lang w:eastAsia="es-MX"/>
        </w:rPr>
        <w:t xml:space="preserve">uste a las necesidades actuales, </w:t>
      </w:r>
      <w:r w:rsidR="005813EB" w:rsidRPr="005813EB">
        <w:rPr>
          <w:rFonts w:ascii="Century Gothic" w:eastAsia="Times New Roman" w:hAnsi="Century Gothic" w:cs="Times New Roman"/>
          <w:sz w:val="24"/>
          <w:szCs w:val="24"/>
          <w:lang w:eastAsia="es-MX"/>
        </w:rPr>
        <w:t>resulta prioritario</w:t>
      </w:r>
      <w:r w:rsidR="001E3697" w:rsidRPr="003709C7">
        <w:rPr>
          <w:rFonts w:ascii="Century Gothic" w:eastAsia="Times New Roman" w:hAnsi="Century Gothic" w:cs="Times New Roman"/>
          <w:sz w:val="24"/>
          <w:szCs w:val="24"/>
          <w:lang w:eastAsia="es-MX"/>
        </w:rPr>
        <w:t xml:space="preserve"> que participen en este proceso todos los involucrados</w:t>
      </w:r>
      <w:r w:rsidR="003709C7">
        <w:rPr>
          <w:rFonts w:ascii="Century Gothic" w:eastAsia="Times New Roman" w:hAnsi="Century Gothic" w:cs="Times New Roman"/>
          <w:sz w:val="24"/>
          <w:szCs w:val="24"/>
          <w:lang w:eastAsia="es-MX"/>
        </w:rPr>
        <w:t xml:space="preserve">, para lo cual, en breve </w:t>
      </w:r>
      <w:r w:rsidR="001E3697" w:rsidRPr="003709C7">
        <w:rPr>
          <w:rFonts w:ascii="Century Gothic" w:eastAsia="Times New Roman" w:hAnsi="Century Gothic" w:cs="Times New Roman"/>
          <w:sz w:val="24"/>
          <w:szCs w:val="24"/>
          <w:lang w:eastAsia="es-MX"/>
        </w:rPr>
        <w:t xml:space="preserve">se pretende </w:t>
      </w:r>
      <w:r w:rsidR="005813EB" w:rsidRPr="005813EB">
        <w:rPr>
          <w:rFonts w:ascii="Century Gothic" w:eastAsia="Times New Roman" w:hAnsi="Century Gothic" w:cs="Times New Roman"/>
          <w:sz w:val="24"/>
          <w:szCs w:val="24"/>
          <w:lang w:eastAsia="es-MX"/>
        </w:rPr>
        <w:t xml:space="preserve">formalizar </w:t>
      </w:r>
      <w:r w:rsidRPr="003709C7">
        <w:rPr>
          <w:rFonts w:ascii="Century Gothic" w:eastAsia="Times New Roman" w:hAnsi="Century Gothic" w:cs="Times New Roman"/>
          <w:sz w:val="24"/>
          <w:szCs w:val="24"/>
          <w:lang w:eastAsia="es-MX"/>
        </w:rPr>
        <w:t xml:space="preserve">la </w:t>
      </w:r>
      <w:r w:rsidR="003709C7" w:rsidRPr="003709C7">
        <w:rPr>
          <w:rFonts w:ascii="Century Gothic" w:eastAsia="Times New Roman" w:hAnsi="Century Gothic" w:cs="Times New Roman"/>
          <w:sz w:val="24"/>
          <w:szCs w:val="24"/>
          <w:lang w:eastAsia="es-MX"/>
        </w:rPr>
        <w:t>creación</w:t>
      </w:r>
      <w:r w:rsidR="003709C7">
        <w:rPr>
          <w:rFonts w:ascii="Century Gothic" w:eastAsia="Times New Roman" w:hAnsi="Century Gothic" w:cs="Times New Roman"/>
          <w:sz w:val="24"/>
          <w:szCs w:val="24"/>
          <w:lang w:eastAsia="es-MX"/>
        </w:rPr>
        <w:t xml:space="preserve"> </w:t>
      </w:r>
      <w:r w:rsidRPr="003709C7">
        <w:rPr>
          <w:rFonts w:ascii="Century Gothic" w:eastAsia="Times New Roman" w:hAnsi="Century Gothic" w:cs="Times New Roman"/>
          <w:sz w:val="24"/>
          <w:szCs w:val="24"/>
          <w:lang w:eastAsia="es-MX"/>
        </w:rPr>
        <w:t xml:space="preserve">de </w:t>
      </w:r>
      <w:r w:rsidR="005813EB" w:rsidRPr="005813EB">
        <w:rPr>
          <w:rFonts w:ascii="Century Gothic" w:eastAsia="Times New Roman" w:hAnsi="Century Gothic" w:cs="Times New Roman"/>
          <w:sz w:val="24"/>
          <w:szCs w:val="24"/>
          <w:lang w:eastAsia="es-MX"/>
        </w:rPr>
        <w:t>Mesas Técnicas para la Reform</w:t>
      </w:r>
      <w:r w:rsidR="001E3697" w:rsidRPr="003709C7">
        <w:rPr>
          <w:rFonts w:ascii="Century Gothic" w:eastAsia="Times New Roman" w:hAnsi="Century Gothic" w:cs="Times New Roman"/>
          <w:sz w:val="24"/>
          <w:szCs w:val="24"/>
          <w:lang w:eastAsia="es-MX"/>
        </w:rPr>
        <w:t>a a la Ley Estatal de Educación, las cuales, f</w:t>
      </w:r>
      <w:r w:rsidR="005813EB" w:rsidRPr="005813EB">
        <w:rPr>
          <w:rFonts w:ascii="Century Gothic" w:eastAsia="Times New Roman" w:hAnsi="Century Gothic" w:cs="Times New Roman"/>
          <w:sz w:val="24"/>
          <w:szCs w:val="24"/>
          <w:lang w:eastAsia="es-MX"/>
        </w:rPr>
        <w:t>ortalecerán las redes de cooperación e intercambio</w:t>
      </w:r>
      <w:r w:rsidR="003709C7" w:rsidRPr="003709C7">
        <w:rPr>
          <w:rFonts w:ascii="Century Gothic" w:eastAsia="Times New Roman" w:hAnsi="Century Gothic" w:cs="Times New Roman"/>
          <w:sz w:val="24"/>
          <w:szCs w:val="24"/>
          <w:lang w:eastAsia="es-MX"/>
        </w:rPr>
        <w:t xml:space="preserve"> de ideas</w:t>
      </w:r>
      <w:r w:rsidR="00B7157E" w:rsidRPr="003709C7">
        <w:rPr>
          <w:rFonts w:ascii="Century Gothic" w:eastAsia="Times New Roman" w:hAnsi="Century Gothic" w:cs="Times New Roman"/>
          <w:sz w:val="24"/>
          <w:szCs w:val="24"/>
          <w:lang w:eastAsia="es-MX"/>
        </w:rPr>
        <w:t>, lo cual, sin lugar a dudas, coadyuvara</w:t>
      </w:r>
      <w:r w:rsidR="005813EB" w:rsidRPr="005813EB">
        <w:rPr>
          <w:rFonts w:ascii="Century Gothic" w:eastAsia="Times New Roman" w:hAnsi="Century Gothic" w:cs="Times New Roman"/>
          <w:sz w:val="24"/>
          <w:szCs w:val="24"/>
          <w:lang w:eastAsia="es-MX"/>
        </w:rPr>
        <w:t xml:space="preserve"> </w:t>
      </w:r>
      <w:r w:rsidR="001E3697" w:rsidRPr="003709C7">
        <w:rPr>
          <w:rFonts w:ascii="Century Gothic" w:eastAsia="Times New Roman" w:hAnsi="Century Gothic" w:cs="Times New Roman"/>
          <w:sz w:val="24"/>
          <w:szCs w:val="24"/>
          <w:lang w:eastAsia="es-MX"/>
        </w:rPr>
        <w:t xml:space="preserve">a que el resultado final sea producto </w:t>
      </w:r>
      <w:r w:rsidR="00B7157E" w:rsidRPr="003709C7">
        <w:rPr>
          <w:rFonts w:ascii="Century Gothic" w:eastAsia="Times New Roman" w:hAnsi="Century Gothic" w:cs="Times New Roman"/>
          <w:sz w:val="24"/>
          <w:szCs w:val="24"/>
          <w:lang w:eastAsia="es-MX"/>
        </w:rPr>
        <w:t xml:space="preserve">de un profundo análisis, </w:t>
      </w:r>
      <w:r w:rsidR="001E3697" w:rsidRPr="003709C7">
        <w:rPr>
          <w:rFonts w:ascii="Century Gothic" w:eastAsia="Times New Roman" w:hAnsi="Century Gothic" w:cs="Times New Roman"/>
          <w:sz w:val="24"/>
          <w:szCs w:val="24"/>
          <w:lang w:eastAsia="es-MX"/>
        </w:rPr>
        <w:t xml:space="preserve">de la deliberación y el </w:t>
      </w:r>
      <w:r w:rsidR="003709C7" w:rsidRPr="003709C7">
        <w:rPr>
          <w:rFonts w:ascii="Century Gothic" w:eastAsia="Times New Roman" w:hAnsi="Century Gothic" w:cs="Times New Roman"/>
          <w:sz w:val="24"/>
          <w:szCs w:val="24"/>
          <w:lang w:eastAsia="es-MX"/>
        </w:rPr>
        <w:t>consenso</w:t>
      </w:r>
      <w:r w:rsidR="001E3697" w:rsidRPr="003709C7">
        <w:rPr>
          <w:rFonts w:ascii="Century Gothic" w:eastAsia="Times New Roman" w:hAnsi="Century Gothic" w:cs="Times New Roman"/>
          <w:sz w:val="24"/>
          <w:szCs w:val="24"/>
          <w:lang w:eastAsia="es-MX"/>
        </w:rPr>
        <w:t>.</w:t>
      </w:r>
    </w:p>
    <w:p w14:paraId="6D73E70F" w14:textId="77777777" w:rsidR="005813EB" w:rsidRPr="005813EB" w:rsidRDefault="005813EB" w:rsidP="005813EB">
      <w:pPr>
        <w:shd w:val="clear" w:color="auto" w:fill="FFFFFF"/>
        <w:spacing w:before="180" w:beforeAutospacing="1" w:after="180" w:afterAutospacing="1" w:line="360" w:lineRule="auto"/>
        <w:ind w:firstLine="360"/>
        <w:jc w:val="both"/>
        <w:rPr>
          <w:rFonts w:ascii="Century Gothic" w:eastAsia="Times New Roman" w:hAnsi="Century Gothic" w:cs="Times New Roman"/>
          <w:sz w:val="24"/>
          <w:szCs w:val="24"/>
          <w:lang w:eastAsia="es-MX"/>
        </w:rPr>
      </w:pPr>
      <w:r w:rsidRPr="005813EB">
        <w:rPr>
          <w:rFonts w:ascii="Century Gothic" w:eastAsia="Times New Roman" w:hAnsi="Century Gothic" w:cs="Times New Roman"/>
          <w:sz w:val="24"/>
          <w:szCs w:val="24"/>
          <w:lang w:eastAsia="es-MX"/>
        </w:rPr>
        <w:lastRenderedPageBreak/>
        <w:t>Es por lo anteriormente expuesto que sometemos a consideración del Pleno el presente proyecto con carácter de:</w:t>
      </w:r>
    </w:p>
    <w:p w14:paraId="12740E8E" w14:textId="77777777" w:rsidR="005813EB" w:rsidRPr="003709C7" w:rsidRDefault="005813EB" w:rsidP="005813EB">
      <w:pPr>
        <w:shd w:val="clear" w:color="auto" w:fill="FFFFFF"/>
        <w:spacing w:before="180" w:beforeAutospacing="1" w:after="180" w:afterAutospacing="1" w:line="360" w:lineRule="auto"/>
        <w:ind w:firstLine="360"/>
        <w:jc w:val="center"/>
        <w:rPr>
          <w:rFonts w:ascii="Century Gothic" w:eastAsia="Times New Roman" w:hAnsi="Century Gothic" w:cs="Times New Roman"/>
          <w:b/>
          <w:sz w:val="24"/>
          <w:szCs w:val="24"/>
          <w:lang w:eastAsia="es-MX"/>
        </w:rPr>
      </w:pPr>
      <w:r w:rsidRPr="003709C7">
        <w:rPr>
          <w:rFonts w:ascii="Century Gothic" w:eastAsia="Times New Roman" w:hAnsi="Century Gothic" w:cs="Times New Roman"/>
          <w:b/>
          <w:sz w:val="24"/>
          <w:szCs w:val="24"/>
          <w:lang w:eastAsia="es-MX"/>
        </w:rPr>
        <w:t>DECRETO</w:t>
      </w:r>
    </w:p>
    <w:p w14:paraId="095F2AD7" w14:textId="77777777" w:rsidR="00EE3611" w:rsidRPr="003709C7" w:rsidRDefault="00EE3611" w:rsidP="00541A5F">
      <w:pPr>
        <w:jc w:val="both"/>
        <w:rPr>
          <w:rFonts w:ascii="Century Gothic" w:hAnsi="Century Gothic"/>
          <w:sz w:val="24"/>
          <w:szCs w:val="24"/>
        </w:rPr>
      </w:pPr>
      <w:r w:rsidRPr="00AD7275">
        <w:rPr>
          <w:rFonts w:ascii="Century Gothic" w:hAnsi="Century Gothic"/>
          <w:b/>
          <w:sz w:val="24"/>
          <w:szCs w:val="24"/>
        </w:rPr>
        <w:t>ARTÍCULO ÚNICO</w:t>
      </w:r>
      <w:r w:rsidRPr="003709C7">
        <w:rPr>
          <w:rFonts w:ascii="Century Gothic" w:hAnsi="Century Gothic"/>
          <w:sz w:val="24"/>
          <w:szCs w:val="24"/>
        </w:rPr>
        <w:t>.-</w:t>
      </w:r>
      <w:r w:rsidR="00AD7275">
        <w:rPr>
          <w:rFonts w:ascii="Century Gothic" w:hAnsi="Century Gothic"/>
          <w:sz w:val="24"/>
          <w:szCs w:val="24"/>
        </w:rPr>
        <w:t xml:space="preserve">  </w:t>
      </w:r>
      <w:r w:rsidR="00AD7275">
        <w:rPr>
          <w:rFonts w:ascii="Century Gothic" w:eastAsia="MS Mincho" w:hAnsi="Century Gothic" w:cs="Arial"/>
          <w:bCs/>
          <w:sz w:val="24"/>
          <w:szCs w:val="24"/>
          <w:lang w:eastAsia="es-ES"/>
        </w:rPr>
        <w:t>Se reforman</w:t>
      </w:r>
      <w:r w:rsidR="00AD7275" w:rsidRPr="003709C7">
        <w:rPr>
          <w:rFonts w:ascii="Century Gothic" w:hAnsi="Century Gothic"/>
          <w:sz w:val="24"/>
          <w:szCs w:val="24"/>
        </w:rPr>
        <w:t xml:space="preserve"> los artículos 1, segundo párrafo; 4, primero y segundo párrafos; 9, fracciones IV y V; 10; 12 BIS, fracción I; 13, fracción XLIX; 24-A, primer párrafo y fracción II; 24-B, primer y sexto párrafos; 25, fracciones I, IX, X y XIV; 32, 45; 46, fracciones 1 y VII; 56, párrafo primero; Capítulo IV, la denominación de la Sección VIII; 63; Capítulo IV, la denominación de las Secciones IX y XI; 80, párrafo primero; 130, fracción XII; 131, fracción 1; 136, fracción VI; 138, primer párrafo; del Capítulo VIII, se reforme la Sección II, para quedar como Capítulo IX, que consta de cuatro Secciones; 151, primer párrafo; 152, 153, 154, 155, 156, 157, 158, 158 BIS, 158 TER; de los actuales Capítulos IX y X, se recorre la numeración, para quedar como Capítulos X y XI; del Título Segundo, se modifique su denominación, reestructurándolo con nuevos Capítulos</w:t>
      </w:r>
      <w:r w:rsidR="00AD7275">
        <w:rPr>
          <w:rFonts w:ascii="Century Gothic" w:hAnsi="Century Gothic"/>
          <w:sz w:val="24"/>
          <w:szCs w:val="24"/>
        </w:rPr>
        <w:t xml:space="preserve"> y Secciones; 179, 180, 181</w:t>
      </w:r>
      <w:r w:rsidR="00AD7275" w:rsidRPr="003709C7">
        <w:rPr>
          <w:rFonts w:ascii="Century Gothic" w:hAnsi="Century Gothic"/>
          <w:sz w:val="24"/>
          <w:szCs w:val="24"/>
        </w:rPr>
        <w:t xml:space="preserve">, 183, 184, 185, 186, 187, 188, 189, 190, 191, 192, 193, </w:t>
      </w:r>
      <w:r w:rsidR="00AD7275">
        <w:rPr>
          <w:rFonts w:ascii="Century Gothic" w:hAnsi="Century Gothic"/>
          <w:sz w:val="24"/>
          <w:szCs w:val="24"/>
        </w:rPr>
        <w:t>194, 195 y 196. Se adicionan</w:t>
      </w:r>
      <w:r w:rsidR="00AD7275" w:rsidRPr="003709C7">
        <w:rPr>
          <w:rFonts w:ascii="Century Gothic" w:hAnsi="Century Gothic"/>
          <w:sz w:val="24"/>
          <w:szCs w:val="24"/>
        </w:rPr>
        <w:t xml:space="preserve"> los artículos 1, tercer párrafo; 3, tercer y cuarto párrafos; 4, tercer y cuarto párrafos; 8, fracción XXIV; 9, fracciones VI, VII, VIII y IX; 13, fracciones LVII, LVIII, LIX, LX, LXI y LXII; 14 BIS; 25, fracciones XV y XVI; 25 BIS; 27, fracción IV, un segundo párrafo; 32, segundo párrafo; 33, segundo y tercer párrafos; 59, segundo párrafo; 63, segundo párrafo; 65, segundo párrafo; 71 BIS; 71 TER; 73 BIS; 78, segundo párrafo; 96, segundo párrafo; 96 BIS; 96 TER; 111 BIS; 131, fracción XI; 134, fracción VII; 156 BIS y 181 BIS; </w:t>
      </w:r>
      <w:r w:rsidR="00AD7275">
        <w:rPr>
          <w:rFonts w:ascii="Century Gothic" w:hAnsi="Century Gothic"/>
          <w:sz w:val="24"/>
          <w:szCs w:val="24"/>
        </w:rPr>
        <w:t>el TÍTULO TERCERO. Y se derogan</w:t>
      </w:r>
      <w:r w:rsidR="00AD7275" w:rsidRPr="003709C7">
        <w:rPr>
          <w:rFonts w:ascii="Century Gothic" w:hAnsi="Century Gothic"/>
          <w:sz w:val="24"/>
          <w:szCs w:val="24"/>
        </w:rPr>
        <w:t xml:space="preserve"> los artículos 13, fracción XLVI; 15, tercer párrafo; 24-B, cuarto párrafo; 138, segundo, tercero, cuarto y quinto párrafos; 151, segundo y tercer párrafos; 151 BIS, 153 BIS, 197, 198, 199, 200, 201, 202, 203, 204, 205, 206, 207, 208, 209, 210, 211, 212, 213, 214, 215, 216, 217, 218, 219, 220, 221, 222, 223 224, 225, 226, 227, 228, 229, 230, 231, 232, 233 y 234, todos de la Ley Estatal de Educación</w:t>
      </w:r>
      <w:r w:rsidR="00AD7275">
        <w:rPr>
          <w:rFonts w:ascii="Century Gothic" w:hAnsi="Century Gothic"/>
          <w:sz w:val="24"/>
          <w:szCs w:val="24"/>
        </w:rPr>
        <w:t xml:space="preserve"> </w:t>
      </w:r>
      <w:r w:rsidRPr="003709C7">
        <w:rPr>
          <w:rFonts w:ascii="Century Gothic" w:hAnsi="Century Gothic"/>
          <w:sz w:val="24"/>
          <w:szCs w:val="24"/>
        </w:rPr>
        <w:t xml:space="preserve">para quedar de la siguiente manera: </w:t>
      </w:r>
    </w:p>
    <w:p w14:paraId="22FB3800"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 La educación es un servicio público prioritario y un bien social que, cuyo ejercicio es necesario para alcanzar el bienestar de todas las personas, por tanto, es responsabilidad del Estado y la sociedad. En consecuencia, promoverá la vinculación entre el sector educativo, sector productivo y los promotores de la cultura, así como también con organismos públicos o privados que promueven el desarrollo individual y colectivo. En el Sistema Educativo Estatal la educación será de calidad, y deberá asegurarse la participación activa de todas las personas involucradas en el </w:t>
      </w:r>
      <w:r w:rsidRPr="003709C7">
        <w:rPr>
          <w:rFonts w:ascii="Century Gothic" w:hAnsi="Century Gothic"/>
          <w:sz w:val="24"/>
          <w:szCs w:val="24"/>
        </w:rPr>
        <w:lastRenderedPageBreak/>
        <w:t xml:space="preserve">Proceso Educativo, con sentido de responsabilidad social, fomentando la participación de los educandos, madres y padres de familia o tutores, maestras y maestros, para alcanzar los fines a que se refiere el presente Artículo. Las autoridades educativas locales buscarán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 </w:t>
      </w:r>
    </w:p>
    <w:p w14:paraId="1AA00CD4"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3.... El derecho a la educación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 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 </w:t>
      </w:r>
    </w:p>
    <w:p w14:paraId="0918D6AB" w14:textId="77777777" w:rsidR="003C65E4" w:rsidRDefault="00EE3611" w:rsidP="00541A5F">
      <w:pPr>
        <w:jc w:val="both"/>
        <w:rPr>
          <w:rFonts w:ascii="Century Gothic" w:hAnsi="Century Gothic"/>
          <w:sz w:val="24"/>
          <w:szCs w:val="24"/>
        </w:rPr>
      </w:pPr>
      <w:r w:rsidRPr="003709C7">
        <w:rPr>
          <w:rFonts w:ascii="Century Gothic" w:hAnsi="Century Gothic"/>
          <w:sz w:val="24"/>
          <w:szCs w:val="24"/>
        </w:rPr>
        <w:t xml:space="preserve">ARTÍCULO 4. La educación inicial es un derecho de la niñez; es responsabilidad del Estado concientizar sobre su importancia y garantizarla conforme a lo dispuesto en la Ley General de Educación y esta Ley. El Estado, a través de la Autoridad Educativa Estatal, está obligado a impartir los servicios educativos de preescolar, primaria, secundaria y media superior a toda la población; además, podrá promover y atender directamente, o con los organismos descentralizados, a través de apoyos financieros, o bien, por cualquier otro medio, los otros niveles, tipos o modalidades educativos. Así como apoyar la investigación científica y tecnológica y alentar el fortalecimiento y la difusión de la cultura regional, estatal, nacional y universal. La obligatoriedad de la educación superior corresponde al Estado en los términos dispuestos por la fracción X del artículo 3o. constitucional y las leyes en la materia. </w:t>
      </w:r>
    </w:p>
    <w:p w14:paraId="18F013B3" w14:textId="77777777" w:rsidR="009B1E90" w:rsidRDefault="00EE3611" w:rsidP="00541A5F">
      <w:pPr>
        <w:jc w:val="both"/>
        <w:rPr>
          <w:rFonts w:ascii="Century Gothic" w:hAnsi="Century Gothic"/>
          <w:sz w:val="24"/>
          <w:szCs w:val="24"/>
        </w:rPr>
      </w:pPr>
      <w:r w:rsidRPr="003709C7">
        <w:rPr>
          <w:rFonts w:ascii="Century Gothic" w:hAnsi="Century Gothic"/>
          <w:sz w:val="24"/>
          <w:szCs w:val="24"/>
        </w:rPr>
        <w:t xml:space="preserve">ARTÍCULO 8.... I. a XXIII.... </w:t>
      </w:r>
    </w:p>
    <w:p w14:paraId="4D3068A2"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XXIV. La participación activa en la transformación de la sociedad, al emplear el pensamiento crítico a partir del análisis, la reflexión, el diálogo, la </w:t>
      </w:r>
      <w:r w:rsidRPr="003709C7">
        <w:rPr>
          <w:rFonts w:ascii="Century Gothic" w:hAnsi="Century Gothic"/>
          <w:sz w:val="24"/>
          <w:szCs w:val="24"/>
        </w:rPr>
        <w:lastRenderedPageBreak/>
        <w:t xml:space="preserve">conciencia histórica, el humanismo y la argumentación para el mejoramiento de los ámbitos social, cultural y político. </w:t>
      </w:r>
    </w:p>
    <w:p w14:paraId="552AE7F1"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9.... I. a IV. Aportará elementos para robustecer en los educandos el aprecio a la dignidad de la persona y la integridad de los diversos tipos de familia, sustentando los ideales de fraternidad e igualdad de derechos de todas las personas, evitando los privilegios de raza, religión, grupo, sexo o de orientación sexual, e incorporando la perspectiva de género y constituyendo a los planteles educativos como espacios libres de cualquier tipo de violencia. </w:t>
      </w:r>
    </w:p>
    <w:p w14:paraId="6A10E143" w14:textId="77777777" w:rsidR="001D0424" w:rsidRPr="003709C7" w:rsidRDefault="009B1E90" w:rsidP="00541A5F">
      <w:pPr>
        <w:jc w:val="both"/>
        <w:rPr>
          <w:rFonts w:ascii="Century Gothic" w:hAnsi="Century Gothic"/>
          <w:sz w:val="24"/>
          <w:szCs w:val="24"/>
        </w:rPr>
      </w:pPr>
      <w:r>
        <w:rPr>
          <w:rFonts w:ascii="Century Gothic" w:hAnsi="Century Gothic"/>
          <w:sz w:val="24"/>
          <w:szCs w:val="24"/>
        </w:rPr>
        <w:t>V</w:t>
      </w:r>
      <w:r w:rsidR="00EE3611" w:rsidRPr="003709C7">
        <w:rPr>
          <w:rFonts w:ascii="Century Gothic" w:hAnsi="Century Gothic"/>
          <w:sz w:val="24"/>
          <w:szCs w:val="24"/>
        </w:rPr>
        <w:t xml:space="preserve">. Será intercultural, al promover la convivencia armónica entre personas y comunidades sobre la base del respeto a sus diferentes concepciones, opiniones, tradiciones, costumbres y modos de vida y del reconocimiento de sus derechos. </w:t>
      </w:r>
    </w:p>
    <w:p w14:paraId="249EC9F1" w14:textId="77777777" w:rsidR="009B1E90" w:rsidRDefault="009B1E90" w:rsidP="00541A5F">
      <w:pPr>
        <w:jc w:val="both"/>
        <w:rPr>
          <w:rFonts w:ascii="Century Gothic" w:hAnsi="Century Gothic"/>
          <w:sz w:val="24"/>
          <w:szCs w:val="24"/>
        </w:rPr>
      </w:pPr>
      <w:r>
        <w:rPr>
          <w:rFonts w:ascii="Century Gothic" w:hAnsi="Century Gothic"/>
          <w:sz w:val="24"/>
          <w:szCs w:val="24"/>
        </w:rPr>
        <w:t>VI</w:t>
      </w:r>
      <w:r w:rsidR="00EE3611" w:rsidRPr="003709C7">
        <w:rPr>
          <w:rFonts w:ascii="Century Gothic" w:hAnsi="Century Gothic"/>
          <w:sz w:val="24"/>
          <w:szCs w:val="24"/>
        </w:rPr>
        <w:t xml:space="preserve">. Será integral, porque educará para la vida y estará enfocada a las capacidades y desarrollo de las habilidades cognitivas, socioemocionales y físicas de las personas que les permitan alcanzar su bienestar y contribuir al desarrollo social. </w:t>
      </w:r>
    </w:p>
    <w:p w14:paraId="7AB5ED07" w14:textId="77777777" w:rsidR="001D0424" w:rsidRPr="003709C7" w:rsidRDefault="009B1E90" w:rsidP="00541A5F">
      <w:pPr>
        <w:jc w:val="both"/>
        <w:rPr>
          <w:rFonts w:ascii="Century Gothic" w:hAnsi="Century Gothic"/>
          <w:sz w:val="24"/>
          <w:szCs w:val="24"/>
        </w:rPr>
      </w:pPr>
      <w:r>
        <w:rPr>
          <w:rFonts w:ascii="Century Gothic" w:hAnsi="Century Gothic"/>
          <w:sz w:val="24"/>
          <w:szCs w:val="24"/>
        </w:rPr>
        <w:t>VII</w:t>
      </w:r>
      <w:r w:rsidR="00EE3611" w:rsidRPr="003709C7">
        <w:rPr>
          <w:rFonts w:ascii="Century Gothic" w:hAnsi="Century Gothic"/>
          <w:sz w:val="24"/>
          <w:szCs w:val="24"/>
        </w:rPr>
        <w:t xml:space="preserve">. Será de excelencia, orientada al mejoramiento permanente de los procesos formativos que propicien el máximo logro de aprendizaje de los educandos, para el desarrollo de su pensamiento crítico, así como el fortalecimiento de los lazos entre escuela y comunidad. </w:t>
      </w:r>
    </w:p>
    <w:p w14:paraId="30531483" w14:textId="77777777" w:rsidR="00EE3611" w:rsidRPr="003709C7" w:rsidRDefault="009B1E90" w:rsidP="00541A5F">
      <w:pPr>
        <w:jc w:val="both"/>
        <w:rPr>
          <w:rFonts w:ascii="Century Gothic" w:hAnsi="Century Gothic"/>
          <w:sz w:val="24"/>
          <w:szCs w:val="24"/>
        </w:rPr>
      </w:pPr>
      <w:r>
        <w:rPr>
          <w:rFonts w:ascii="Century Gothic" w:hAnsi="Century Gothic"/>
          <w:sz w:val="24"/>
          <w:szCs w:val="24"/>
        </w:rPr>
        <w:t>VIII</w:t>
      </w:r>
      <w:r w:rsidR="00EE3611" w:rsidRPr="003709C7">
        <w:rPr>
          <w:rFonts w:ascii="Century Gothic" w:hAnsi="Century Gothic"/>
          <w:sz w:val="24"/>
          <w:szCs w:val="24"/>
        </w:rPr>
        <w:t xml:space="preserve">.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 </w:t>
      </w:r>
    </w:p>
    <w:p w14:paraId="7E46BFE0"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10. Las y los habitantes del Estado de Chihuahua deberán cursar la educación preescolar, primaria, secundaria y media superior. Quienes ejerzan la patria potestad o la tutela tienen la obligación de hacer que sus hijas, hijos o pupilos menores de 18 años concurran a las escuelas públicas o privadas para recibir la educación de estos niveles, así como participar en su proceso educativo, al revisar su progreso y desempeño, velando siempre por su bienestar y desarrollo, además, procurar que cursen la educación inicial. </w:t>
      </w:r>
    </w:p>
    <w:p w14:paraId="7B3BEFDB" w14:textId="77777777" w:rsidR="00EE3611" w:rsidRPr="003709C7" w:rsidRDefault="00EE3611" w:rsidP="00541A5F">
      <w:pPr>
        <w:jc w:val="both"/>
        <w:rPr>
          <w:rFonts w:ascii="Century Gothic" w:hAnsi="Century Gothic"/>
          <w:sz w:val="24"/>
          <w:szCs w:val="24"/>
        </w:rPr>
      </w:pPr>
    </w:p>
    <w:p w14:paraId="456D8B96"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ARTÍCULO 12 BIS.... I. Prestar los servicios de formación, actualización, capacitación y superación profesional para docentes de Educación Básica, de conformidad con las disposiciones generales que la Autoridad Educativa Federal determine, y conforme a lo dispuesto por la Ley General del Sistema para la Carrera de las Maestras y los Maestros y demás disposiciones aplicables. II. a IV.... </w:t>
      </w:r>
    </w:p>
    <w:p w14:paraId="1690CA0B"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 1. a XLV.... </w:t>
      </w:r>
    </w:p>
    <w:p w14:paraId="4BA3C596" w14:textId="77777777" w:rsidR="00C72630"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XLVI. Se deroga. </w:t>
      </w:r>
    </w:p>
    <w:p w14:paraId="64DFF12B"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XLVII. a XLVIII.... </w:t>
      </w:r>
    </w:p>
    <w:p w14:paraId="7E33EB1D"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XLIX. Diseñar y aplicar los instrumentos de evaluación que consideren necesarios para garantizar la calidad educativa en el ámbito de su competencia. L. a LVI.... </w:t>
      </w:r>
    </w:p>
    <w:p w14:paraId="28CFB857"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LVII. Participar en las actividades tendientes para la admisión, promoción y reconocimiento, de conformidad con lo dispuesto en la Ley General del Sistema para la Carrera de las Maestras y los Maestros. </w:t>
      </w:r>
    </w:p>
    <w:p w14:paraId="43DF9E5F"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LVIII. Ejecutar programas para la inducción, actualización, capacitación y superación de maestras y maestros de educación media superior, los que deberán sujetarse, en lo conducente, a lo dispuesto por la Ley General del Sistema para la Carrera de las Maestras y los Maestros. LIX. Suscribir los acuerdos y convenios que faciliten el tránsito nacional e internacional de estudiantes, así como promover la suscripción de tratados en la materia. </w:t>
      </w:r>
    </w:p>
    <w:p w14:paraId="74CB8843"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LX. Editar libros y producir otros materiales educativos, distintos de los señalados en la fracción IV del artículo 113 de la Ley General de Educación, apegados a los fines y criterios establecidos en el artículo 3o. constitucional y para el cumplimiento de los planes y programas de estudio autorizados por la autoridad educativa federal. </w:t>
      </w:r>
    </w:p>
    <w:p w14:paraId="3F3765CE"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LXI. Aplicar los instrumentos que consideren necesarios para la mejora continua de la educación en el ámbito de su competencia, atendiendo los lineamientos que en ejercicio de sus atribuciones emita la Comisión Nacional para la Mejora Continua de la Educación. </w:t>
      </w:r>
    </w:p>
    <w:p w14:paraId="4B49663A" w14:textId="77777777" w:rsidR="00EE3611"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LXII. Coordinar y operar un sistema de asesoría y acompañamiento a las escuelas públicas de educación básica y media superior, como apoyo a la mejora de la práctica profesional, bajo la responsabilidad de los supervisores escolares. </w:t>
      </w:r>
    </w:p>
    <w:p w14:paraId="59E3A978"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ARTÍCULO 14 BIS. Las autoridades educativas estatales y municipales, prestarán servicios educativos con equidad y excelencia. Las medidas que adopten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 Para tal efecto realizarán, entre otras, las siguientes acciones:</w:t>
      </w:r>
    </w:p>
    <w:p w14:paraId="0DE937BD"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 I. E</w:t>
      </w:r>
      <w:r w:rsidR="009B1E90">
        <w:rPr>
          <w:rFonts w:ascii="Century Gothic" w:hAnsi="Century Gothic"/>
          <w:sz w:val="24"/>
          <w:szCs w:val="24"/>
        </w:rPr>
        <w:t>stablecer políticas</w:t>
      </w:r>
      <w:r w:rsidRPr="003709C7">
        <w:rPr>
          <w:rFonts w:ascii="Century Gothic" w:hAnsi="Century Gothic"/>
          <w:sz w:val="24"/>
          <w:szCs w:val="24"/>
        </w:rPr>
        <w:t xml:space="preserve"> transversales y con perspectiva de género, para otorgar becas y demás apoyos económicos que prioricen a los educandos que enfrenten condiciones socioeconómicas que les impidan ejercer su derecho a la educación. </w:t>
      </w:r>
    </w:p>
    <w:p w14:paraId="470C0AA7"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 Establecer, de acuerdo con la suficiencia presupuestal, programas de entrega gratuita de uniformes y útiles escolares, calzado y anteojos para estudiantes de educación básica. </w:t>
      </w:r>
    </w:p>
    <w:p w14:paraId="34017CF7"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III. Proporcionar apoyos a educandos cuya madre, padre o tutor haya fallecido o sufrido algún accidente que le ocasione invalidez o incapacidad permanente. </w:t>
      </w:r>
    </w:p>
    <w:p w14:paraId="3823D078"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IV. Garantizar el acceso a los servicios educativos a las víctimas y promover su permanencia en el sistema educativo estatal cuando como consecuencia del delito o violación de sus derechos humanos exista interrupción en los estudios. V. Promover la instalación de aires acondicionados en aulas de los planteles educativos que, por sus condiciones climáticas, lo requieran. </w:t>
      </w:r>
    </w:p>
    <w:p w14:paraId="51016309"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 Impulsar, en coordinación con las autoridades en la materia, programas de acceso gratuito a eventos culturales para educandos en vulnerabilidad social. </w:t>
      </w:r>
    </w:p>
    <w:p w14:paraId="3D412923"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VII. Apoyar, conforme a las disposiciones que para tal efecto emitan las autoridades educativas, a estudiantes de educación media superior y de educación superior con alto rendimiento escolar para que puedan participar en programas de intercambio académico en el país o en el extranjero. </w:t>
      </w:r>
    </w:p>
    <w:p w14:paraId="07D3E787"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VIII. Celebrar convenios para que las instituciones que presten servicios de estancias infantiles faciliten la incorporación de las hijas o hijos de estudiantes que lo requieran, con el objeto de que no interrumpan o abandonen sus estudios. </w:t>
      </w:r>
    </w:p>
    <w:p w14:paraId="6765E847"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IX. Dar a conocer y, en su caso, fomentar diversas opciones educativas, como la educación abierta y a distancia, mediante el aprovechamiento de las plataformas digitales, la televisión educativa y las tecnologías de la información, comunicación, conocimiento y aprendizaje digital. </w:t>
      </w:r>
    </w:p>
    <w:p w14:paraId="4B8CDB83"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 Celebrar convenios de colaboración interinstitucional con las autoridades de los tres órdenes de gobierno, a fin de impulsar acciones que mejoren las condiciones de vida de los educandos, con énfasis en las de carácter alimentario, preferentemente a partir de microempresas locales, en aquellas escuelas que lo necesiten, conforme a los índices de pobreza, marginación y condición alimentaria. </w:t>
      </w:r>
    </w:p>
    <w:p w14:paraId="75CE03C2" w14:textId="77777777" w:rsidR="001D0424" w:rsidRPr="003709C7" w:rsidRDefault="00EE3611" w:rsidP="00541A5F">
      <w:pPr>
        <w:jc w:val="both"/>
        <w:rPr>
          <w:rFonts w:ascii="Century Gothic" w:hAnsi="Century Gothic"/>
          <w:sz w:val="24"/>
          <w:szCs w:val="24"/>
        </w:rPr>
      </w:pPr>
      <w:proofErr w:type="spellStart"/>
      <w:r w:rsidRPr="003709C7">
        <w:rPr>
          <w:rFonts w:ascii="Century Gothic" w:hAnsi="Century Gothic"/>
          <w:sz w:val="24"/>
          <w:szCs w:val="24"/>
        </w:rPr>
        <w:t>Xl</w:t>
      </w:r>
      <w:proofErr w:type="spellEnd"/>
      <w:r w:rsidRPr="003709C7">
        <w:rPr>
          <w:rFonts w:ascii="Century Gothic" w:hAnsi="Century Gothic"/>
          <w:sz w:val="24"/>
          <w:szCs w:val="24"/>
        </w:rPr>
        <w:t xml:space="preserve">. Fomentar programas de incentivos dirigidos a las maestras y los maestros que presten sus servicios en localidades aisladas, zonas urbanas marginadas y de alta conflictividad social, para fomentar el arraigo en sus comunidades y cumplir con el calendario escolar. </w:t>
      </w:r>
    </w:p>
    <w:p w14:paraId="7B731B24"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XII. 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desarrollo integral de los educandos. </w:t>
      </w:r>
    </w:p>
    <w:p w14:paraId="09E5230D"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XIII. Facilitar el acceso a la educación básica y media superior, previo cumplimiento de los requisitos que para tal efecto se establezcan, aun cuando los solicitantes carezcan de documentos académicos o de identidad; esta obligación se tendrá por satisfecha con el ofrecimiento de servicios educativos. Las autoridades educativas ofrecerán opciones que faciliten la obtención de los documentos académicos y celebrarán convenios de colaboración con las instituciones competentes para la obtención de los documentos de identidad; asimismo, en el caso de la educación básica y media superior, se les ubicará en el nivel y grado que corresponda, conforme a la edad, el desarrollo cognitivo, la madurez emocional y, en su caso, los conocimientos que demuestren los educandos mediante la evaluación correspondiente. Las autoridades educativas promoverán acciones similares para el caso de la educación superior. </w:t>
      </w:r>
    </w:p>
    <w:p w14:paraId="367E5DA6"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XIV. Adoptar las medidas para que, con independencia de su nacionalidad o condición migratoria, las niñas, niños, adolescentes o jóvenes que utilicen los servicios educativos públicos, ejerzan los derechos y gocen de los beneficios con los que cuentan los educandos nacionales, instrumentando estrategias para facilitar su incorporación y permanencia en el Sistema Educativo Estatal. </w:t>
      </w:r>
    </w:p>
    <w:p w14:paraId="28DB7E6D" w14:textId="77777777" w:rsidR="001D0424"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XV. Promover medidas para facilitar y garantizar la incorporación y permanencia a los servicios educativos públicos a las niñas, niños, adolescentes y jóvenes que hayan sido repatriados a nuestro país, regresen voluntariamente o enfrenten situaciones de desplazamiento o migración interna. </w:t>
      </w:r>
    </w:p>
    <w:p w14:paraId="078DDC44"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XVI. Proporcionar a los educandos los libros de texto gratuitos y materiales educativos impresos o en formatos digitales para la educación básica, garantizando su distribución. XVII. Fomentar programas que coadyuven a la mejora de la educación para alcanzar su excelencia. </w:t>
      </w:r>
    </w:p>
    <w:p w14:paraId="6847C6D0"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 Se deroga. </w:t>
      </w:r>
    </w:p>
    <w:p w14:paraId="24A2F68D"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24-A. La Autoridad Educativa Estatal, con base en la normatividad aplicable, desarrollará en la Entidad el proceso de formación, actualización, capacitación y superación profesional para docentes, que tendrá las finalidades siguientes: II. La formación continua, la actualización de conocimientos y superación docente de los maestros en servicio, citados en la fracción anterior. III. y IV.... </w:t>
      </w:r>
    </w:p>
    <w:p w14:paraId="1AD942A9"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ARTÍCULO 24-B. Para garantizar la calidad de la educación obligatoria brindada por los particulares, las Autoridades Educativas, en el ámbito de sus atribuciones, evaluarán el desempeño de docentes que prestan sus servicios en estas Instituciones. Para tal efecto, dichas autoridades deberán aplicar evaluaciones del desempeño, de conformidad con la normatividad aplicable, para evaluar el desempeño del Personal Docente en Educación Básica y Media Superior en Instituciones Públicas. Las Autoridades Educativas otorgarán la certificación correspondiente a docentes que obtengan resultados satisfactorios y ofrecerán cursos de capacitación y programas de regularización a los que presenten deficiencias, para lo cual las Instituciones Particulares otorgarán las facil</w:t>
      </w:r>
      <w:r w:rsidR="0070415E" w:rsidRPr="003709C7">
        <w:rPr>
          <w:rFonts w:ascii="Century Gothic" w:hAnsi="Century Gothic"/>
          <w:sz w:val="24"/>
          <w:szCs w:val="24"/>
        </w:rPr>
        <w:t>idades necesarias a su persona</w:t>
      </w:r>
      <w:r w:rsidRPr="003709C7">
        <w:rPr>
          <w:rFonts w:ascii="Century Gothic" w:hAnsi="Century Gothic"/>
          <w:sz w:val="24"/>
          <w:szCs w:val="24"/>
        </w:rPr>
        <w:t xml:space="preserve">. Para ejercer la docencia en instituciones establecidas por el Estado, las maestras y maestros deberán satisfacer los requisitos que, en su caso, señalen las autoridades competentes. </w:t>
      </w:r>
    </w:p>
    <w:p w14:paraId="1BDF1328"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ARTÍCULO 25.... I. Los educandos, las maestras y los maestros y personal de apoyo y asistencia a la educación. II. a IX. Las madres y padres de familia o tutores, así como sus asociaciones. X. El sistema para la carrera de las</w:t>
      </w:r>
      <w:r w:rsidR="0070415E" w:rsidRPr="003709C7">
        <w:rPr>
          <w:rFonts w:ascii="Century Gothic" w:hAnsi="Century Gothic"/>
          <w:sz w:val="24"/>
          <w:szCs w:val="24"/>
        </w:rPr>
        <w:t xml:space="preserve"> maestras y los maestros. </w:t>
      </w:r>
      <w:r w:rsidRPr="003709C7">
        <w:rPr>
          <w:rFonts w:ascii="Century Gothic" w:hAnsi="Century Gothic"/>
          <w:sz w:val="24"/>
          <w:szCs w:val="24"/>
        </w:rPr>
        <w:t xml:space="preserve">XIV. Los Consejos de Participación Escolar o sus equivalentes creados conforme a esta Ley. XV. Los Comités Escolares de Administración Participativa que se conformen de acuerdo con las disposiciones aplicables. XVI. Las demás formas de organización establecidas o reconocidas por la Ley. </w:t>
      </w:r>
    </w:p>
    <w:p w14:paraId="57EE9D20"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ARTÍCULO 25 BIS. Las madres y padres de familia o tutores serán corresponsables en el proceso educativo de sus hijas, hijos o pupilos menores de edad, para lo cual, además de cumplir con su obligación de hacerlos asistir a los servicios educativos, apoyarán su aprendizaje, y revisarán su progreso, desempeño y conducta, velando siempre por su bienestar y desarrollo. </w:t>
      </w:r>
    </w:p>
    <w:p w14:paraId="780ECC48"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32. Los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 La Secretaría de Educación y Deporte será la facultada para establecer las denominaciones oficiales de los planteles públicos del Sistema Educativo Estatal y deberá hacer referencia a los valores nacionales, maestros eméritos o nombres de personas con suficiente mérito a quienes se les deberá exaltar para engrandecer nuestra esencia popular y los símbolos patrios. </w:t>
      </w:r>
    </w:p>
    <w:p w14:paraId="6ABFE96E"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33.... El Estado, de manera progresiva, generará las condiciones para la prestación universal de ese servicio. Además, fomentará una cultura a favor de la educación inicial con base en programas, campañas, estrategias y acciones de difusión y orientación, con el apoyo de los sectores social y privado, organizaciones de la sociedad civil y organismos internacionales. Para tal efecto, promoverá diversas opciones educativas para ser impartidas, como las desarrolladas en el seno de las familias y a nivel comunitario, en las cuales se proporcionará orientación </w:t>
      </w:r>
      <w:proofErr w:type="spellStart"/>
      <w:r w:rsidRPr="003709C7">
        <w:rPr>
          <w:rFonts w:ascii="Century Gothic" w:hAnsi="Century Gothic"/>
          <w:sz w:val="24"/>
          <w:szCs w:val="24"/>
        </w:rPr>
        <w:t>psicopedágogica</w:t>
      </w:r>
      <w:proofErr w:type="spellEnd"/>
      <w:r w:rsidRPr="003709C7">
        <w:rPr>
          <w:rFonts w:ascii="Century Gothic" w:hAnsi="Century Gothic"/>
          <w:sz w:val="24"/>
          <w:szCs w:val="24"/>
        </w:rPr>
        <w:t xml:space="preserve"> y serán apoyadas por las instituciones encargadas de la protección y defensa de la niñez. </w:t>
      </w:r>
    </w:p>
    <w:p w14:paraId="5F6B03CA"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59.... La Secretaría de Educación y Deporte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 </w:t>
      </w:r>
    </w:p>
    <w:p w14:paraId="277D4CA1"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SECCIÓN VIII DE LAS TECNOLOGÍAS DE LA INFORMACIÓN, COMUNICACIÓN, CONOCIMIENTO Y APRENDIZAJE DIGITAL EN EL PROCESO EDUCATIVO </w:t>
      </w:r>
    </w:p>
    <w:p w14:paraId="0CF173B7"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ARTÍCULO 63. La educación tecnológica es aquella que se orienta al desarrollo de competencias que promueven la creatividad, la iniciativa y el alto desempeño en el acceso a la investigación e innovación en el campo del uso y creación de nuevas tecnologías, para el mejoramiento, tanto de la calidad y la competitividad en el ámbito productivo, como de los niveles de bienestar y desarrollo económico y cultural de la sociedad; se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semipresencial para cerrar la brecha digital y las desigualdades en la población; teniendo como base el respeto de los ecosistemas en la búsqueda de la satisfacción de los requerimientos que permitan alcanzar el desarrollo sustentable de la región, la Entidad y el país, a través de la participación activa de los educandos, con igualdad de oportunidades y perspectiva de género. Las tecnologías de la información, comunicación, conocimiento y aprendizaje digital serán utilizadas como un complemento de los demás materiales educativos, incluidos los libros de texto gratuitos. </w:t>
      </w:r>
    </w:p>
    <w:p w14:paraId="25F0E1F0"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65.... Además promoverá la formación y capacitación de maestras y maestros para desarrollar las habilidades necesarias en el uso de las tecnologías de la información, comunicación, conocimiento y aprendizaje digital para favorecer el proceso educativo. </w:t>
      </w:r>
    </w:p>
    <w:p w14:paraId="25187F58"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SECCIÓN IX DE LA EDUCACIÓN EN VALORES Y HUMANISTA </w:t>
      </w:r>
    </w:p>
    <w:p w14:paraId="37DA0D90"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71 BIS. En la educación que se imparta en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 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 Para el fortalecimiento de las competencias socioemocionales de los educandos, se implementarán estrategias de capacitación a docentes, madres y padres de familia, a efecto de que estos cuenten con elementos para favorecer en los educandos el desarrollo de tales competencias. </w:t>
      </w:r>
    </w:p>
    <w:p w14:paraId="434728CD" w14:textId="77777777" w:rsidR="0070415E"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ARTÍCULO 71 TER. En la aplicación de los planes y programas educativos se propiciará la transversalidad de las competencias socioemocionales en las asignaturas, para el desarrollo de la cultura de la paz, convivencia armónica y respeto que coadyuven a su formación integral. </w:t>
      </w:r>
    </w:p>
    <w:p w14:paraId="1BF511FF"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73 BIS. Las autoridades educativas locales, en el ámbito de sus competencias, establecerán, de manera progresiva, políticas para garantizar la permanencia y continuidad en este tipo educativo, poniendo énfasis en los jóvenes, a través de medidas tendientes a fomentar oportunidades de acceso para que las personas que así lo decidan, puedan ingresar a este tipo educativo, así como disminuir la deserción y abandono escolar, como puede ser el establecimiento de apoyos económicos. 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 </w:t>
      </w:r>
    </w:p>
    <w:p w14:paraId="23C02F17"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SECCIÓN XI DE LA EDUCACIÓN PARA PERSONAS ADULTAS </w:t>
      </w:r>
    </w:p>
    <w:p w14:paraId="1EDB5BD3"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78.... 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 </w:t>
      </w:r>
    </w:p>
    <w:p w14:paraId="605E78A7"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80. La autoridad Educativa Estatal, procurará establecer mecanismos y procedimientos para la acreditación global o parcial de conocimientos adquiridos en forma autodidacta y a través de la experiencia. Asimismo, precisará los criterios mediante los cuales las personas adultas podrán acreditar los niveles de educación primaria y secundaria y de los elementos susceptibles de certificación de la educación para y en el trabajo y la productividad, conforme a los artículos 83 y 145 de la Ley General de Educación. </w:t>
      </w:r>
    </w:p>
    <w:p w14:paraId="2347980E"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96.... La obligatoriedad de la educación superior corresponde al Estado, el cual la garantizará para todas las personas que cumplan con los requisitos solicitados por las instituciones respectivas. </w:t>
      </w:r>
    </w:p>
    <w:p w14:paraId="0CA10E75"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ARTÍCULO 96 BIS. Las autoridades educativas estatales y municipales, en el ámbito de sus competencias, establecerán polít</w:t>
      </w:r>
      <w:r w:rsidR="003C65E4">
        <w:rPr>
          <w:rFonts w:ascii="Century Gothic" w:hAnsi="Century Gothic"/>
          <w:sz w:val="24"/>
          <w:szCs w:val="24"/>
        </w:rPr>
        <w:t>icas para fomentar la in</w:t>
      </w:r>
      <w:r w:rsidRPr="003709C7">
        <w:rPr>
          <w:rFonts w:ascii="Century Gothic" w:hAnsi="Century Gothic"/>
          <w:sz w:val="24"/>
          <w:szCs w:val="24"/>
        </w:rPr>
        <w:t xml:space="preserve"> continuidad y egreso oportuno de estudiantes inscritos en educación superior, poniendo énfasis en los jóvenes. Determinarán medidas que </w:t>
      </w:r>
      <w:r w:rsidRPr="003709C7">
        <w:rPr>
          <w:rFonts w:ascii="Century Gothic" w:hAnsi="Century Gothic"/>
          <w:sz w:val="24"/>
          <w:szCs w:val="24"/>
        </w:rPr>
        <w:lastRenderedPageBreak/>
        <w:t>amplíen el ingreso y permanencia a toda aquella persona que, en los términos que señale la ley en la materia, decida cursar este tipo de estudios, tales como el establecimiento de mecanismos de apoyo académico y económico que responda a las necesidades de la población estudiantil. Las instituciones podrán incluir, además, opciones de formación continua y actualización para responder a las necesidades de la transformación del conocimiento y cambio tecnológico</w:t>
      </w:r>
    </w:p>
    <w:p w14:paraId="19B448EA"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 ARTÍCULO 96 TER. Las autoridades educativas respetarán el régimen jurídico de las universidades a las que la ley les otorga autonomía, en los términos establecidos en la fracción VII del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 </w:t>
      </w:r>
    </w:p>
    <w:p w14:paraId="345E0B81"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111 BIS. 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 </w:t>
      </w:r>
    </w:p>
    <w:p w14:paraId="16EC2D2E"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130.... I. a XI.... XII. Ser observadores en las evaluaciones a Personal Docente y Directivo, para lo cual deberán cumplir con los lineamientos respectivos. XIII. a XVI.... </w:t>
      </w:r>
    </w:p>
    <w:p w14:paraId="7D8E04F7"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131.... I. Garantizar que sus hijas, hijos o pupilos menores de edad reciban la educación preescolar, primaria y secundaria, procurando que accedan a la educación media superior y superior y, en su caso, la inicial. II. a X.... </w:t>
      </w:r>
      <w:proofErr w:type="spellStart"/>
      <w:r w:rsidRPr="003709C7">
        <w:rPr>
          <w:rFonts w:ascii="Century Gothic" w:hAnsi="Century Gothic"/>
          <w:sz w:val="24"/>
          <w:szCs w:val="24"/>
        </w:rPr>
        <w:t>Xl</w:t>
      </w:r>
      <w:proofErr w:type="spellEnd"/>
      <w:r w:rsidRPr="003709C7">
        <w:rPr>
          <w:rFonts w:ascii="Century Gothic" w:hAnsi="Century Gothic"/>
          <w:sz w:val="24"/>
          <w:szCs w:val="24"/>
        </w:rPr>
        <w:t xml:space="preserve">. Participar en el proceso educativo de sus hijas, hijos o pupilos menores de edad, al revisar su progreso, desempeño y conducta, velando siempre por su bienestar y desarrollo. </w:t>
      </w:r>
    </w:p>
    <w:p w14:paraId="4C616DF8"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134.... I. a VI.... VII. Gestionar el mejoramiento de las condiciones de los planteles educativos ante las autoridades correspondientes. </w:t>
      </w:r>
    </w:p>
    <w:p w14:paraId="50C48ED8"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136.... I. a V.... VI. Proponer estímulos y reconocimientos de carácter social a Alumnos, Maestros, Directivos y Empleados de la Escuela, para ser considerados por los programas que al efecto determine la Secretaría de Educación Pública del Ejecutivo Federal y las autoridades competentes. VII. ... </w:t>
      </w:r>
    </w:p>
    <w:p w14:paraId="1FA8E6D0"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138. Será decisión de cada escuela la instalación y operación del consejo de participación escolar o su equivalente, el cual será integrado por </w:t>
      </w:r>
      <w:r w:rsidRPr="003709C7">
        <w:rPr>
          <w:rFonts w:ascii="Century Gothic" w:hAnsi="Century Gothic"/>
          <w:sz w:val="24"/>
          <w:szCs w:val="24"/>
        </w:rPr>
        <w:lastRenderedPageBreak/>
        <w:t xml:space="preserve">padres, madres de familia y tutores, así como representantes de la Asociación de padres de familia, docentes y representantes de su organización sindical, exalumnos, así como aquellos miembros de la comunidad interesados en el desarrollo de la propia escuela. Se deroga. Se deroga. Se deroga. Se deroga. </w:t>
      </w:r>
    </w:p>
    <w:p w14:paraId="2DAB7415"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CAPÍTULO IX DE LA ORIENTACIÓN INTEGRAL EN EL PROCESO EDUCATIVO </w:t>
      </w:r>
    </w:p>
    <w:p w14:paraId="25911E26"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151. 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 </w:t>
      </w:r>
    </w:p>
    <w:p w14:paraId="4B3E6D73"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151 BIS. Se deroga. </w:t>
      </w:r>
    </w:p>
    <w:p w14:paraId="34F99FDB"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152. La orientación integral, en la formación de las niñas y los niños, considerará lo siguiente: </w:t>
      </w:r>
    </w:p>
    <w:p w14:paraId="67766E8C"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 El pensamiento lógico matemático y la alfabetización numérica. </w:t>
      </w:r>
    </w:p>
    <w:p w14:paraId="457BD078"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 La comprensión lectora, la expresión oral y escrita, con elementos de la lengua que permitan la construcción de conocimientos correspondientes a distintas disciplinas y favorezcan la interrelación entre ellos. </w:t>
      </w:r>
    </w:p>
    <w:p w14:paraId="39F95CBE"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III. El conocimiento tecnológico, con el empleo de tecnologías de la información, comunicación, conocimiento y aprendizaje digital, manejo de diferentes lenguajes y herramientas de sistemas informáticos, y de comunicación </w:t>
      </w:r>
    </w:p>
    <w:p w14:paraId="2E67B400"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IV. El conocimiento científico, a través de la apropiación de principios, modelos y conceptos científicos fundamentales, empleo de procedimientos experimentales y de comunicación. </w:t>
      </w:r>
    </w:p>
    <w:p w14:paraId="5B7128B5"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 El pensamiento filosófico, histórico y humanístico. </w:t>
      </w:r>
    </w:p>
    <w:p w14:paraId="1F339740"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 </w:t>
      </w:r>
    </w:p>
    <w:p w14:paraId="193E3085"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VII. El pensamiento crítico, como una capacidad de identificar, analizar, cuestionar y valorar fenómenos, información, acciones e ideas, así como tomar una posición frente a los hechos y procesos para solucionar distintos problemas de la realidad. </w:t>
      </w:r>
    </w:p>
    <w:p w14:paraId="01D80FA0"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VIII. El logro de los educandos de acuerdo con sus capacidades, circunstancias, necesidades, estilos y ritmo de aprendizaje diversos. IX. Los conocimientos, habilidades motrices y creativas, a través de la activación física, la práctica del deporte y la educación física vinculadas con la salud, la cultura, la recreación y la convivencia en comunidad. X. La apreciación y creación artística, a través de conocimientos conceptuales y habilidades creativas para su manifestación en diferentes formas. </w:t>
      </w:r>
      <w:proofErr w:type="spellStart"/>
      <w:r w:rsidRPr="003709C7">
        <w:rPr>
          <w:rFonts w:ascii="Century Gothic" w:hAnsi="Century Gothic"/>
          <w:sz w:val="24"/>
          <w:szCs w:val="24"/>
        </w:rPr>
        <w:t>Xl</w:t>
      </w:r>
      <w:proofErr w:type="spellEnd"/>
      <w:r w:rsidRPr="003709C7">
        <w:rPr>
          <w:rFonts w:ascii="Century Gothic" w:hAnsi="Century Gothic"/>
          <w:sz w:val="24"/>
          <w:szCs w:val="24"/>
        </w:rPr>
        <w:t xml:space="preserve">. Los valores para la responsabilidad ciudadana y social, como el respeto por los otros, la solidaridad, la justicia, la libertad, la igualdad, la honradez, la gratitud y la participación democrática con base en una educación cívica. </w:t>
      </w:r>
    </w:p>
    <w:p w14:paraId="58DC0E2B"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153. 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 </w:t>
      </w:r>
    </w:p>
    <w:p w14:paraId="0D186570"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ARTÍCULO 153 BIS. Se deroga.</w:t>
      </w:r>
    </w:p>
    <w:p w14:paraId="7BF82DAF"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 SECCIÓN I PLANES Y PROGRAMAS </w:t>
      </w:r>
    </w:p>
    <w:p w14:paraId="7AFD9505"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154. 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 </w:t>
      </w:r>
    </w:p>
    <w:p w14:paraId="6D4AEA28"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155. La Autoridad Educativa Estatal podrá emitir opinión y realizar recomendaciones a la autoridad competente sobre el contenido de los planes y programas de estudio, entre otros, respecto a lo siguiente: </w:t>
      </w:r>
    </w:p>
    <w:p w14:paraId="6E05FEC8"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I. El aprendizaje de las matemáticas.</w:t>
      </w:r>
    </w:p>
    <w:p w14:paraId="770C4167"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 II. El conocimiento de la lecto-escritura y la literacidad, para un mejor aprovechamiento de la cultura escrita. </w:t>
      </w:r>
    </w:p>
    <w:p w14:paraId="2C360B46"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III. El aprendizaje de la historia, la geografía, el civismo y la filosofía. </w:t>
      </w:r>
    </w:p>
    <w:p w14:paraId="305B43D6" w14:textId="77777777" w:rsidR="00FE297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IV. El fomento de la investigación, la ciencia, la tecnología y la innovación, así como su comprensión, aplicación y uso responsables. </w:t>
      </w:r>
    </w:p>
    <w:p w14:paraId="3846468E"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V</w:t>
      </w:r>
      <w:r w:rsidR="00EE3611" w:rsidRPr="003709C7">
        <w:rPr>
          <w:rFonts w:ascii="Century Gothic" w:hAnsi="Century Gothic"/>
          <w:sz w:val="24"/>
          <w:szCs w:val="24"/>
        </w:rPr>
        <w:t xml:space="preserve">. El aprendizaje de las lenguas extranjeras. </w:t>
      </w:r>
    </w:p>
    <w:p w14:paraId="7B0D78F1"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lastRenderedPageBreak/>
        <w:t>VI</w:t>
      </w:r>
      <w:r w:rsidR="00EE3611" w:rsidRPr="003709C7">
        <w:rPr>
          <w:rFonts w:ascii="Century Gothic" w:hAnsi="Century Gothic"/>
          <w:sz w:val="24"/>
          <w:szCs w:val="24"/>
        </w:rPr>
        <w:t xml:space="preserve">. El fomento de la activación física, la práctica del deporte y la educación física. </w:t>
      </w:r>
    </w:p>
    <w:p w14:paraId="4EE5C111"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VII</w:t>
      </w:r>
      <w:r w:rsidR="00EE3611" w:rsidRPr="003709C7">
        <w:rPr>
          <w:rFonts w:ascii="Century Gothic" w:hAnsi="Century Gothic"/>
          <w:sz w:val="24"/>
          <w:szCs w:val="24"/>
        </w:rPr>
        <w:t xml:space="preserve">. La promoción de estilos de vida saludables, la educación para la salud, la importancia de la donación de órganos, tejidos y sangre. </w:t>
      </w:r>
    </w:p>
    <w:p w14:paraId="5F2C8B68"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VIII</w:t>
      </w:r>
      <w:r w:rsidR="00EE3611" w:rsidRPr="003709C7">
        <w:rPr>
          <w:rFonts w:ascii="Century Gothic" w:hAnsi="Century Gothic"/>
          <w:sz w:val="24"/>
          <w:szCs w:val="24"/>
        </w:rPr>
        <w:t>. El fomento de la igualdad de género para la construcción de una sociedad justa e igualitaria.</w:t>
      </w:r>
    </w:p>
    <w:p w14:paraId="4AECF3A4" w14:textId="77777777" w:rsidR="00B12809"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 </w:t>
      </w:r>
      <w:r w:rsidR="003C65E4">
        <w:rPr>
          <w:rFonts w:ascii="Century Gothic" w:hAnsi="Century Gothic"/>
          <w:sz w:val="24"/>
          <w:szCs w:val="24"/>
        </w:rPr>
        <w:t>I</w:t>
      </w:r>
      <w:r w:rsidRPr="003709C7">
        <w:rPr>
          <w:rFonts w:ascii="Century Gothic" w:hAnsi="Century Gothic"/>
          <w:sz w:val="24"/>
          <w:szCs w:val="24"/>
        </w:rPr>
        <w:t xml:space="preserve">X. La educación sexual integral y reproductiva que implica el ejercicio responsable de la sexualidad, la planeación familiar, la maternidad y la paternidad responsable, la prevención de los embarazos adolescentes y de las infecciones de transmisión sexual. </w:t>
      </w:r>
    </w:p>
    <w:p w14:paraId="7F4BB2C4"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X</w:t>
      </w:r>
      <w:r w:rsidR="00EE3611" w:rsidRPr="003709C7">
        <w:rPr>
          <w:rFonts w:ascii="Century Gothic" w:hAnsi="Century Gothic"/>
          <w:sz w:val="24"/>
          <w:szCs w:val="24"/>
        </w:rPr>
        <w:t xml:space="preserve">. La educación socioemocional. </w:t>
      </w:r>
    </w:p>
    <w:p w14:paraId="16160164"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XI</w:t>
      </w:r>
      <w:r w:rsidR="00EE3611" w:rsidRPr="003709C7">
        <w:rPr>
          <w:rFonts w:ascii="Century Gothic" w:hAnsi="Century Gothic"/>
          <w:sz w:val="24"/>
          <w:szCs w:val="24"/>
        </w:rPr>
        <w:t xml:space="preserve">. La prevención del consumo de sustancias psicoactivas, el conocimiento de sus causas, riesgos y consecuencias. </w:t>
      </w:r>
    </w:p>
    <w:p w14:paraId="65401A4A"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XII</w:t>
      </w:r>
      <w:r w:rsidR="00EE3611" w:rsidRPr="003709C7">
        <w:rPr>
          <w:rFonts w:ascii="Century Gothic" w:hAnsi="Century Gothic"/>
          <w:sz w:val="24"/>
          <w:szCs w:val="24"/>
        </w:rPr>
        <w:t xml:space="preserve">. El reconocimiento de la diversidad de capacidades de las personas, a partir de reconocer su ritmo, estilo e intereses en el aprendizaje, así como el uso del Lenguaje de Señas Mexicanas, y fortalecer el ejercicio de los derechos de todas las personas. </w:t>
      </w:r>
    </w:p>
    <w:p w14:paraId="673D753A"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XIII</w:t>
      </w:r>
      <w:r w:rsidR="00EE3611" w:rsidRPr="003709C7">
        <w:rPr>
          <w:rFonts w:ascii="Century Gothic" w:hAnsi="Century Gothic"/>
          <w:sz w:val="24"/>
          <w:szCs w:val="24"/>
        </w:rPr>
        <w:t>. La promoción del emprendimiento, el fomento de la cultura del a</w:t>
      </w:r>
      <w:r w:rsidR="000C7A08" w:rsidRPr="003709C7">
        <w:rPr>
          <w:rFonts w:ascii="Century Gothic" w:hAnsi="Century Gothic"/>
          <w:sz w:val="24"/>
          <w:szCs w:val="24"/>
        </w:rPr>
        <w:t>horro y la educación financiera</w:t>
      </w:r>
      <w:r w:rsidR="00EE3611" w:rsidRPr="003709C7">
        <w:rPr>
          <w:rFonts w:ascii="Century Gothic" w:hAnsi="Century Gothic"/>
          <w:sz w:val="24"/>
          <w:szCs w:val="24"/>
        </w:rPr>
        <w:t xml:space="preserve">. </w:t>
      </w:r>
    </w:p>
    <w:p w14:paraId="3BC724F0" w14:textId="77777777" w:rsidR="00B12809" w:rsidRPr="003709C7" w:rsidRDefault="003C65E4" w:rsidP="00541A5F">
      <w:pPr>
        <w:jc w:val="both"/>
        <w:rPr>
          <w:rFonts w:ascii="Century Gothic" w:hAnsi="Century Gothic"/>
          <w:sz w:val="24"/>
          <w:szCs w:val="24"/>
        </w:rPr>
      </w:pPr>
      <w:r>
        <w:rPr>
          <w:rFonts w:ascii="Century Gothic" w:hAnsi="Century Gothic"/>
          <w:sz w:val="24"/>
          <w:szCs w:val="24"/>
        </w:rPr>
        <w:t>XIV</w:t>
      </w:r>
      <w:r w:rsidR="00EE3611" w:rsidRPr="003709C7">
        <w:rPr>
          <w:rFonts w:ascii="Century Gothic" w:hAnsi="Century Gothic"/>
          <w:sz w:val="24"/>
          <w:szCs w:val="24"/>
        </w:rPr>
        <w:t xml:space="preserve">. 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14:paraId="61E0D01F"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XV</w:t>
      </w:r>
      <w:r w:rsidR="00EE3611" w:rsidRPr="003709C7">
        <w:rPr>
          <w:rFonts w:ascii="Century Gothic" w:hAnsi="Century Gothic"/>
          <w:sz w:val="24"/>
          <w:szCs w:val="24"/>
        </w:rPr>
        <w:t xml:space="preserve">. 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 </w:t>
      </w:r>
    </w:p>
    <w:p w14:paraId="089D134D"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XVI</w:t>
      </w:r>
      <w:r w:rsidR="00EE3611" w:rsidRPr="003709C7">
        <w:rPr>
          <w:rFonts w:ascii="Century Gothic" w:hAnsi="Century Gothic"/>
          <w:sz w:val="24"/>
          <w:szCs w:val="24"/>
        </w:rPr>
        <w:t xml:space="preserve">. 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 </w:t>
      </w:r>
    </w:p>
    <w:p w14:paraId="0CFA22E1"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XVII</w:t>
      </w:r>
      <w:r w:rsidR="00EE3611" w:rsidRPr="003709C7">
        <w:rPr>
          <w:rFonts w:ascii="Century Gothic" w:hAnsi="Century Gothic"/>
          <w:sz w:val="24"/>
          <w:szCs w:val="24"/>
        </w:rPr>
        <w:t xml:space="preserve">. El fomento de los valores y principios del cooperativismo que propicien la construcción de relaciones, solidarias y fraternas. La promoción de </w:t>
      </w:r>
      <w:r w:rsidR="00EE3611" w:rsidRPr="003709C7">
        <w:rPr>
          <w:rFonts w:ascii="Century Gothic" w:hAnsi="Century Gothic"/>
          <w:sz w:val="24"/>
          <w:szCs w:val="24"/>
        </w:rPr>
        <w:lastRenderedPageBreak/>
        <w:t xml:space="preserve">actitudes solidarias y positivas hacia el trabajo, el ahorro y el bienestar general. </w:t>
      </w:r>
    </w:p>
    <w:p w14:paraId="7318C42A"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XVIII</w:t>
      </w:r>
      <w:r w:rsidR="00EE3611" w:rsidRPr="003709C7">
        <w:rPr>
          <w:rFonts w:ascii="Century Gothic" w:hAnsi="Century Gothic"/>
          <w:sz w:val="24"/>
          <w:szCs w:val="24"/>
        </w:rPr>
        <w:t xml:space="preserve">. El fomento de la lectura y el uso de los libros, materiales diversos y dispositivos digitales. </w:t>
      </w:r>
    </w:p>
    <w:p w14:paraId="182A6277"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XIX</w:t>
      </w:r>
      <w:r w:rsidR="00EE3611" w:rsidRPr="003709C7">
        <w:rPr>
          <w:rFonts w:ascii="Century Gothic" w:hAnsi="Century Gothic"/>
          <w:sz w:val="24"/>
          <w:szCs w:val="24"/>
        </w:rPr>
        <w:t xml:space="preserve">. La promoción del valor de la justicia, de la observancia de la ley y de la igualdad de las personas ante esta, la cultura de la legalidad y la no discriminación, de la paz y la no violencia en cualquier tipo de sus manifestaciones, así como la práctica de los valores y el conocimiento de los derechos humanos para garantizar el respeto a los mismos. </w:t>
      </w:r>
    </w:p>
    <w:p w14:paraId="2D103597"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XX</w:t>
      </w:r>
      <w:r w:rsidR="00EE3611" w:rsidRPr="003709C7">
        <w:rPr>
          <w:rFonts w:ascii="Century Gothic" w:hAnsi="Century Gothic"/>
          <w:sz w:val="24"/>
          <w:szCs w:val="24"/>
        </w:rPr>
        <w:t xml:space="preserve">. El conocimiento de las artes, la valoración, la apreciación, preservación y respeto del patrimonio musical, cultural y artístico, así como el desarrollo de la creatividad artística por medio de los procesos tecnológicos y tradicionales. </w:t>
      </w:r>
    </w:p>
    <w:p w14:paraId="61E4AAD5" w14:textId="77777777" w:rsidR="00FE2979" w:rsidRPr="003709C7" w:rsidRDefault="003C65E4" w:rsidP="00541A5F">
      <w:pPr>
        <w:jc w:val="both"/>
        <w:rPr>
          <w:rFonts w:ascii="Century Gothic" w:hAnsi="Century Gothic"/>
          <w:sz w:val="24"/>
          <w:szCs w:val="24"/>
        </w:rPr>
      </w:pPr>
      <w:r>
        <w:rPr>
          <w:rFonts w:ascii="Century Gothic" w:hAnsi="Century Gothic"/>
          <w:sz w:val="24"/>
          <w:szCs w:val="24"/>
        </w:rPr>
        <w:t>XXI</w:t>
      </w:r>
      <w:r w:rsidR="00EE3611" w:rsidRPr="003709C7">
        <w:rPr>
          <w:rFonts w:ascii="Century Gothic" w:hAnsi="Century Gothic"/>
          <w:sz w:val="24"/>
          <w:szCs w:val="24"/>
        </w:rPr>
        <w:t xml:space="preserve">. La enseñanza de la música para potencializar el desarrollo cognitivo y humano, así como la personalidad de los educandos. XXIV. El fomento de los principios básicos de seguridad y educación vial. </w:t>
      </w:r>
    </w:p>
    <w:p w14:paraId="1C7AAA70" w14:textId="77777777" w:rsidR="00541A5F" w:rsidRPr="003709C7" w:rsidRDefault="003C65E4" w:rsidP="00541A5F">
      <w:pPr>
        <w:jc w:val="both"/>
        <w:rPr>
          <w:rFonts w:ascii="Century Gothic" w:hAnsi="Century Gothic"/>
          <w:sz w:val="24"/>
          <w:szCs w:val="24"/>
        </w:rPr>
      </w:pPr>
      <w:r>
        <w:rPr>
          <w:rFonts w:ascii="Century Gothic" w:hAnsi="Century Gothic"/>
          <w:sz w:val="24"/>
          <w:szCs w:val="24"/>
        </w:rPr>
        <w:t>XXII.</w:t>
      </w:r>
      <w:r w:rsidR="00EE3611" w:rsidRPr="003709C7">
        <w:rPr>
          <w:rFonts w:ascii="Century Gothic" w:hAnsi="Century Gothic"/>
          <w:sz w:val="24"/>
          <w:szCs w:val="24"/>
        </w:rPr>
        <w:t xml:space="preserve"> Los demás necesarios para el cumplimiento de los fines y criterios de la educación establecidos en el artículo 3o. de la Constitución Política de los Estados Unidos Mexicanos. </w:t>
      </w:r>
    </w:p>
    <w:p w14:paraId="28E9443C" w14:textId="77777777" w:rsidR="00541A5F"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156. En la educación impartida en el Estado de Chihuahua se priorizará el interés superior de niñas, niños, adolescentes y jóvenes en el ejercicio de su derecho a la educación. Para tal efecto, la Secretaría de Educación y Deporte garantizará el desarrollo de programas y políticas públicas que hagan efectivo ese principio constitucional. </w:t>
      </w:r>
    </w:p>
    <w:p w14:paraId="17EB7875"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156 BIS. Los educandos son los sujetos más valiosos de la educación con pleno derecho a desarrollar todas sus potencialidades de forma activa, transformadora y autónoma. Como parte del proceso educativo, los educandos tendrán derecho a: </w:t>
      </w:r>
    </w:p>
    <w:p w14:paraId="3F78DEFF"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 Recibir una educación de excelencia. </w:t>
      </w:r>
    </w:p>
    <w:p w14:paraId="1B0FA2D9"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 Ser respetados en su integridad, identidad y dignidad, además de la protección contra cualquier tipo de agresión física o moral. </w:t>
      </w:r>
    </w:p>
    <w:p w14:paraId="41E719E0"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III. Recibir una orientación integral como elemento para el pleno desarrollo de su personalidad. IV. Ser respetados por su libertad de convicciones éticas, de conciencia y de religión. </w:t>
      </w:r>
    </w:p>
    <w:p w14:paraId="59D8854F"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 Recibir una orientación educativa y vocacional. </w:t>
      </w:r>
    </w:p>
    <w:p w14:paraId="627F06DB"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lastRenderedPageBreak/>
        <w:t xml:space="preserve">VI. Tener un docente frente a grupo que contribuya al logro de su aprendizaje y desarrollo integral. </w:t>
      </w:r>
    </w:p>
    <w:p w14:paraId="3E36F39F"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VII. Participar de los procesos que se deriven en los planteles educativos como centros de aprendizaje comunitario. </w:t>
      </w:r>
    </w:p>
    <w:p w14:paraId="5D2D0276"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VIII. Recibir becas y demás apoyos económicos priorizando a los educandos que enfrenten condiciones económicas y sociales que les impidan ejercer su derecho a la educación. </w:t>
      </w:r>
    </w:p>
    <w:p w14:paraId="22C451B2"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IX. Participar en los Comités Escolares de Administración Participativa en los términos de las disposiciones respectivas. </w:t>
      </w:r>
    </w:p>
    <w:p w14:paraId="607ED18F" w14:textId="77777777" w:rsidR="005D0487" w:rsidRPr="003709C7" w:rsidRDefault="00EE3611" w:rsidP="00541A5F">
      <w:pPr>
        <w:jc w:val="both"/>
        <w:rPr>
          <w:rFonts w:ascii="Century Gothic" w:hAnsi="Century Gothic"/>
          <w:sz w:val="24"/>
          <w:szCs w:val="24"/>
        </w:rPr>
      </w:pPr>
      <w:r w:rsidRPr="003709C7">
        <w:rPr>
          <w:rFonts w:ascii="Century Gothic" w:hAnsi="Century Gothic"/>
          <w:sz w:val="24"/>
          <w:szCs w:val="24"/>
        </w:rPr>
        <w:t>X. Los demás que sean reconocidos en la Constitución Política de los Estados Unidos Mexicanos, esta Ley y demás disposiciones aplicables.</w:t>
      </w:r>
    </w:p>
    <w:p w14:paraId="7C3A481E"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La Secretaría de Educación y Deporte establecerá los mecanismos que contribuyan a su formación integral, tomando en cuenta los contextos sociales, territoriales, económicos, lingüísticos y culturales específicos en la elaboración y aplicación de las políticas educativas en sus distintos tipos y modalidades. </w:t>
      </w:r>
    </w:p>
    <w:p w14:paraId="62ED99B0"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SECCIÓN III EXPEDIENTE ÚNICO DEL EDUCANDO </w:t>
      </w:r>
    </w:p>
    <w:p w14:paraId="502DD944"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157. La Secretaría de Educación y Deporte creará para cada educando desde educación inicial hasta media superior, un expediente único en el que se contengan los datos sobre su trayectoria académica. En todo momento, la Secretaría deberá atender las disposiciones aplicables en materia de transparencia y protección de datos personales. La Información del expediente al que se refiere este artículo, se proporcionará a la autoridad educativa federal en los términos que señale para actualizar el Sistema de Información y Gestión Educativa previsto en la Ley General de Educación. </w:t>
      </w:r>
    </w:p>
    <w:p w14:paraId="09F4E7DD" w14:textId="77777777" w:rsidR="000C7A08" w:rsidRPr="003709C7" w:rsidRDefault="00EE3611" w:rsidP="00541A5F">
      <w:pPr>
        <w:jc w:val="both"/>
        <w:rPr>
          <w:rFonts w:ascii="Century Gothic" w:hAnsi="Century Gothic"/>
          <w:sz w:val="24"/>
          <w:szCs w:val="24"/>
        </w:rPr>
      </w:pPr>
      <w:r w:rsidRPr="003709C7">
        <w:rPr>
          <w:rFonts w:ascii="Century Gothic" w:hAnsi="Century Gothic"/>
          <w:sz w:val="24"/>
          <w:szCs w:val="24"/>
        </w:rPr>
        <w:t xml:space="preserve">SECCIÓN IV SERVICIOS DE ORIENTACIÓN EDUCATIVA, DE TRABAJO SOCIAL Y DE PSICOLOGÍA </w:t>
      </w:r>
    </w:p>
    <w:p w14:paraId="136FBAD1" w14:textId="77777777" w:rsidR="00AD7275" w:rsidRDefault="00EE3611" w:rsidP="00541A5F">
      <w:pPr>
        <w:jc w:val="both"/>
        <w:rPr>
          <w:rFonts w:ascii="Century Gothic" w:hAnsi="Century Gothic"/>
          <w:sz w:val="24"/>
          <w:szCs w:val="24"/>
        </w:rPr>
      </w:pPr>
      <w:r w:rsidRPr="003709C7">
        <w:rPr>
          <w:rFonts w:ascii="Century Gothic" w:hAnsi="Century Gothic"/>
          <w:sz w:val="24"/>
          <w:szCs w:val="24"/>
        </w:rPr>
        <w:t xml:space="preserve">ARTÍCULO 158. La Secretaría de Educación y Deporte ofrecerá servicios de orientación educativa, de trabajo social y de psicología desde la educación básica hasta la educación superior, de acuerdo con la suficiencia presupuestal y a las necesidades de cada plantel, a fin de fomentar una conciencia crítica que perfile a los educandos en la selección de su formación a lo largo de la vida para su desarrollo personal y contribuir al bienestar de sus comunidades. </w:t>
      </w:r>
    </w:p>
    <w:p w14:paraId="405E99E0" w14:textId="77777777" w:rsidR="00541A5F" w:rsidRPr="003709C7" w:rsidRDefault="00C442BF" w:rsidP="00541A5F">
      <w:pPr>
        <w:jc w:val="both"/>
        <w:rPr>
          <w:rFonts w:ascii="Century Gothic" w:hAnsi="Century Gothic"/>
          <w:sz w:val="24"/>
          <w:szCs w:val="24"/>
        </w:rPr>
      </w:pPr>
      <w:r w:rsidRPr="003709C7">
        <w:rPr>
          <w:rFonts w:ascii="Century Gothic" w:hAnsi="Century Gothic"/>
          <w:sz w:val="24"/>
          <w:szCs w:val="24"/>
        </w:rPr>
        <w:lastRenderedPageBreak/>
        <w:t xml:space="preserve">CAPÍTULO XI DE LAS INFRACCIONES, SANCIONES Y RECURSOS ADMINISTRATIVOS TÍTULO SEGUNDO DE LA REVALORIZACIÓN DE LAS MAESTRAS Y LOS MAESTROS CAPÍTULO I DEL MAGISTERIO COMO AGENTE FUNDAMENTAL EN EL PROCESO EDUCATIVO REVALORIZACIÓN DE LAS MAESTRAS Y LOS MAESTROS </w:t>
      </w:r>
    </w:p>
    <w:p w14:paraId="0841F7D3"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179. Las maestras y los maestros son agentes fundamentales del proceso educativo y, por tanto, se reconoce su contribución a la transformación social en el Estado de Chihuahua. Los esfuerzos y las acciones de las autoridades educativas locales en la revalorización de las maestras y los maestros para efectos de esta Ley, perseguirá los siguientes fines: </w:t>
      </w:r>
    </w:p>
    <w:p w14:paraId="65CD1E23"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 Priorizar su labor para el logro de metas y objetivos centrados en el aprendizaje de los educandos. </w:t>
      </w:r>
    </w:p>
    <w:p w14:paraId="0909FF4F"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II. Fortalecer su desarrollo y superación profesional mediante la formación, capacitación y actualización.</w:t>
      </w:r>
    </w:p>
    <w:p w14:paraId="5F941DF7"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 III. Fomentar el respeto a la labor docente y a su persona por parte de las autoridades educativas, de los educandos, madres y padres de familia o tutores y sociedad en general; así como fortalecer su liderazgo en la comunidad. </w:t>
      </w:r>
    </w:p>
    <w:p w14:paraId="504E6346"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IV. Reconocer su experiencia, así como su vinculación y compromiso con la comunidad y el entorno donde labora, para proponer soluciones de acuerdo a su contexto educativo. </w:t>
      </w:r>
    </w:p>
    <w:p w14:paraId="6A434666"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 Priorizar su labor pedagógica y el máximo logro de aprendizaje de los educandos sobre la carga administrativa. </w:t>
      </w:r>
    </w:p>
    <w:p w14:paraId="31F0AC52"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VI. Promover su formación, capacitación y actualización de acuerdo con su evaluación diagnóstica y en el ámbito donde desarrolla su labor. </w:t>
      </w:r>
    </w:p>
    <w:p w14:paraId="790F8387"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VII. Impulsar su capacidad para la toma de decisiones cotidianas respecto a la planeación educativa. </w:t>
      </w:r>
    </w:p>
    <w:p w14:paraId="6335C5A8" w14:textId="77777777" w:rsidR="00541A5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VIII. Otorgar, en términos de las disposiciones aplicables, un salario profesional digno, reconocimientos, incentivos y prestaciones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IX. Respetar sus derechos reconocidos en las disposiciones legales aplicables. </w:t>
      </w:r>
    </w:p>
    <w:p w14:paraId="20ECA25D"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lastRenderedPageBreak/>
        <w:t>ARTÍCULO 180. La Secretaría de Educación y Deporte colaborará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 En las actividades de supervisión las autoridades educativas darán prioridad, respecto de los aspectos administrativos, a los apoyos técnicos, didácticos y demás para el adecuado d</w:t>
      </w:r>
      <w:r w:rsidR="005D0487" w:rsidRPr="003709C7">
        <w:rPr>
          <w:rFonts w:ascii="Century Gothic" w:hAnsi="Century Gothic"/>
          <w:sz w:val="24"/>
          <w:szCs w:val="24"/>
        </w:rPr>
        <w:t>esempeño de la función docente.</w:t>
      </w:r>
      <w:r w:rsidRPr="003709C7">
        <w:rPr>
          <w:rFonts w:ascii="Century Gothic" w:hAnsi="Century Gothic"/>
          <w:sz w:val="24"/>
          <w:szCs w:val="24"/>
        </w:rPr>
        <w:t xml:space="preserve"> Asimismo, se fortalecerá la capacidad de gestión de las autoridades escolares y la participación de las madres y padres de familia o tutores.</w:t>
      </w:r>
    </w:p>
    <w:p w14:paraId="311D8594"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 SECCIÓN I SISTEMA PARA LA CARRERA DE LAS MAESTRAS Y LOS MAESTROS. </w:t>
      </w:r>
    </w:p>
    <w:p w14:paraId="549A56A8"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181. De conformidad con lo establecido en la Ley General del Sistema para la Carrera de las Maestras y los Maestros, en el Estado de Chihuahua se atenderán: </w:t>
      </w:r>
    </w:p>
    <w:p w14:paraId="3FFB4758"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 Los objetivos y principios del Sistema para la Carrera de las Maestras y Maestros. </w:t>
      </w:r>
    </w:p>
    <w:p w14:paraId="25ECCC6B"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II. Las disposiciones aplicables al Sistema para la Carrera de las Maestras y Maestros en sus funciones de docente, técnico docente, de asesoría técnica pedagógica, directiva o de supervisión, con pleno respeto a sus derechos. </w:t>
      </w:r>
    </w:p>
    <w:p w14:paraId="086AE95C"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III. Las disposiciones generales y específicas de los procesos de selección para la admisión, promoción y reconocimiento del personal que ejerza la función docente, directiva o de supervisión. </w:t>
      </w:r>
    </w:p>
    <w:p w14:paraId="088722A7"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IV. La revalorización de las maestras y maestros, como profesionales de la educación, con pleno respeto a sus derechos. </w:t>
      </w:r>
    </w:p>
    <w:p w14:paraId="434904EF"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181 BIS. Las personas que decidan aceptar el desempeño de un empleo o cargo que impidan el ejercicio de su función en el servicio público educativo, deberán separarse del mismo, sin goce de sueldo, mientras dure el empleo o cargo. </w:t>
      </w:r>
    </w:p>
    <w:p w14:paraId="634F1B5D"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SECCIÓN II DE LOS PROCESOS DE ADMISIÓN, PROMOCIÓN Y RECONOCIMIENTO EN EDUCACIÓN BÁSICA Y EN EDUCACIÓN MEDIA SUPERIOR </w:t>
      </w:r>
    </w:p>
    <w:p w14:paraId="6CD9B71E"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183. La autoridad educativa local, impulsará, fomentará y formulará mecanismos que propicien la promoción, incentivos y el reconocimiento de las maestras y los maestros, con la posibilidad para estos </w:t>
      </w:r>
      <w:r w:rsidRPr="003709C7">
        <w:rPr>
          <w:rFonts w:ascii="Century Gothic" w:hAnsi="Century Gothic"/>
          <w:sz w:val="24"/>
          <w:szCs w:val="24"/>
        </w:rPr>
        <w:lastRenderedPageBreak/>
        <w:t xml:space="preserve">de ir obteniendo mejores condiciones laborales, salariales, prestacionales, y un mayor reconocimiento social. </w:t>
      </w:r>
    </w:p>
    <w:p w14:paraId="7752EF28"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184. La autoridad educativa local otorgará reconocimientos, distinciones, estímulos e incentivos a los docentes que se destaquen en el ejercicio de su profesión. Para cuyos efectos operará e instrumentará programas locales o regionales de reconocimiento adicionales a los que establece la Ley General del Sistema para la Carrera de Maestras y Maestros y la Ley reglamentaria del artículo 3o. constitucional en materia de Mejora Continua de la Educación, y demás disposiciones normativas. </w:t>
      </w:r>
    </w:p>
    <w:p w14:paraId="43ADDC13"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185. La autoridad educativa local constituirá el sistema integral de formación, capacitación y actualización para que las maestras y los maestros ejerzan su derecho de acceder a este, en términos de lo establecido en la Ley Reglamentaria del artículo 3o. de la Constitución Política de los Estados Unidos Mexicanos, en materia de Mejora Continua de la Educación. </w:t>
      </w:r>
    </w:p>
    <w:p w14:paraId="7FE09931"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186. El sistema integral de formación, capacitación y actualización tendrá los siguientes fines: </w:t>
      </w:r>
    </w:p>
    <w:p w14:paraId="6661FA43"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 La formación, con nivel de licenciatura, de maestras y maestros de educación básica con los conocimientos y aptitudes necesarios para el aprendizaje y el desarrollo integral de los educandos. </w:t>
      </w:r>
    </w:p>
    <w:p w14:paraId="57CADA25"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II. La formación continua, la actualización de conocimientos de las humanidades, las artes, la ciencia, la tecnología e innovación y otras que contribuyan a la superación docente de las maestras y los maestros en servicio. </w:t>
      </w:r>
    </w:p>
    <w:p w14:paraId="1C1F964F"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III. La promoción de programas de especialización, maestría y doctorado para una orientación integral, adecuados a las necesidades, contextos regionales y locales de la prestación de los servicios educativos y de los recursos disponibles.</w:t>
      </w:r>
    </w:p>
    <w:p w14:paraId="02D61883"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 IV. La realización de programas de inducción, actualización, capacitación y superación profesional para las maestras y maestros de educación media superior. </w:t>
      </w:r>
    </w:p>
    <w:p w14:paraId="6A771BD3"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 La promoción del enfoque de derechos humanos, de igualdad sustantiva, la cultura de la paz y la integridad en la práctica de las funciones de las maestras y los maestros. </w:t>
      </w:r>
    </w:p>
    <w:p w14:paraId="76735D5F"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VI. El desarrollo de la investigación pedagógica y la difusión de la cultura educativa.</w:t>
      </w:r>
    </w:p>
    <w:p w14:paraId="42D1EFAF"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lastRenderedPageBreak/>
        <w:t xml:space="preserve"> La implementación del sistema integral de formación, capacitación y actualización será progresiva y se ajustará a la suficiencia presupuestaria del ejercicio fiscal correspondiente.</w:t>
      </w:r>
    </w:p>
    <w:p w14:paraId="0AE4F541" w14:textId="77777777" w:rsidR="00C442BF" w:rsidRPr="003709C7" w:rsidRDefault="00C442BF" w:rsidP="00541A5F">
      <w:pPr>
        <w:jc w:val="both"/>
        <w:rPr>
          <w:rFonts w:ascii="Century Gothic" w:hAnsi="Century Gothic"/>
          <w:sz w:val="24"/>
          <w:szCs w:val="24"/>
        </w:rPr>
      </w:pPr>
    </w:p>
    <w:p w14:paraId="0CA16894"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 SECCIÓN III CONVENIOS PARA AMPLIAR LAS OPCIONES DE CAPACITACIÓN </w:t>
      </w:r>
    </w:p>
    <w:p w14:paraId="27359E74"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187. La Secretaría de Educación y Deporte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 Asimismo, impulsará los proyectos pedagógicos y de desarrollo de la docencia generados por las instituciones de formación docente y los sectores académicos, de conformidad con los criterios que emita la Comisión. </w:t>
      </w:r>
    </w:p>
    <w:p w14:paraId="4F0C93D1"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CAPÍTULO II DE LA FORMACIÓN DOCENTE </w:t>
      </w:r>
    </w:p>
    <w:p w14:paraId="308FA44D" w14:textId="77777777" w:rsidR="003C65E4"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188. Las personas egresadas de las instituciones formadoras de docentes en el Estado de Chihuahua, como las Escuelas Normales, contarán con el conocimiento de diversos enfoques pedagógicos y didácticos que les permita atender las necesidades de aprendizaje de niñas, niños, adolescentes y jóvenes. </w:t>
      </w:r>
    </w:p>
    <w:p w14:paraId="119EDC9E"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SECCIÓN I FORTALECIMIENTO DE LAS INSTITUCIONES PÚBLICAS DE FORMACIÓN DOCENTE </w:t>
      </w:r>
    </w:p>
    <w:p w14:paraId="1682472F"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189. La Secretaría de Educación y Deporte fortalecerá a las Escuelas Normales e instituciones públicas de formación docente, para lo cual, tendrá a su cargo, entre otras, las siguientes acciones: </w:t>
      </w:r>
    </w:p>
    <w:p w14:paraId="1EF188E1"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 Promover la movilidad de los docentes en los diferentes sistemas y subsistemas educativos, particularmente en aquellas instituciones que tengan amplia tradición y experiencia en la formación pedagógica y docente. </w:t>
      </w:r>
    </w:p>
    <w:p w14:paraId="331CD90F"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II. Fomentar la creación de redes académicas para el intercambio de saberes y experiencias entre las maestras y los maestros de los diferentes sistemas y subsistemas educativos. </w:t>
      </w:r>
    </w:p>
    <w:p w14:paraId="74BFEC90"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III. Proporcionar las herramientas para realizar una gestión pedagógica y curricular que priorice el máximo logro del aprendizaje y desarrollo integral de los educandos. </w:t>
      </w:r>
    </w:p>
    <w:p w14:paraId="01E34189"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lastRenderedPageBreak/>
        <w:t xml:space="preserve">IV. Promover la integración de un acervo físico y digital en las instituciones formadoras de docentes, de bibliografía actualizada que permita a las maestras y los maestros acceder a las propuestas pedagógicas y didácticas innovadoras. </w:t>
      </w:r>
    </w:p>
    <w:p w14:paraId="0655C392"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 Promover la acreditación de grados académicos superiores de los docentes. </w:t>
      </w:r>
    </w:p>
    <w:p w14:paraId="233C5E42" w14:textId="77777777" w:rsidR="00B12809"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VI. Promover la investigación educativa y su financiamiento, a través de programas permanentes y de la vinculación con instituciones de educación superior y centros de investigación. </w:t>
      </w:r>
    </w:p>
    <w:p w14:paraId="5DF8C682" w14:textId="77777777" w:rsidR="000C7A08" w:rsidRPr="003709C7" w:rsidRDefault="00C442BF" w:rsidP="00541A5F">
      <w:pPr>
        <w:jc w:val="both"/>
        <w:rPr>
          <w:rFonts w:ascii="Century Gothic" w:hAnsi="Century Gothic"/>
          <w:sz w:val="24"/>
          <w:szCs w:val="24"/>
        </w:rPr>
      </w:pPr>
      <w:r w:rsidRPr="003709C7">
        <w:rPr>
          <w:rFonts w:ascii="Century Gothic" w:hAnsi="Century Gothic"/>
          <w:sz w:val="24"/>
          <w:szCs w:val="24"/>
        </w:rPr>
        <w:t>VII. Garantizar la actualización permanente, a través de la capacitación, la formación, así como programas e incentivos para su desarrollo profesional.</w:t>
      </w:r>
    </w:p>
    <w:p w14:paraId="2BE45131" w14:textId="77777777" w:rsidR="00C442BF"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SECCIÓN II LINEAMIENTOS PARA PROPORCIONAR LA FORMACIÓN INICIAL </w:t>
      </w:r>
    </w:p>
    <w:p w14:paraId="710B8C6E" w14:textId="77777777" w:rsidR="005813EB"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190. La Secretaría de Educación y Deporte emitirá los lineamientos para proporcionar la formación inicial en el Estado, los cuales atenderán la programación estratégica que se realice en el marco del Sistema Educativo Nacional prevista en la Ley General de Educación. </w:t>
      </w:r>
    </w:p>
    <w:p w14:paraId="63174AAD" w14:textId="77777777" w:rsidR="005813EB"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TÍTULO TERCERO DE LOS PLANTELES EDUCATIVOS CAPÍTULO ÚNICO DE LAS CONDICIONES DE LOS PLANTELES EDUCATIVOS PARA GARANTIZAR SU IDONEIDAD Y LA SEGURIDAD DE LAS NIÑAS, NIÑOS, ADOLESCENTES Y JÓVENES SECCIÓN I IMPORTANCIA DE LOS PLANTELES EDUCATIVOS </w:t>
      </w:r>
    </w:p>
    <w:p w14:paraId="0F98AC49" w14:textId="77777777" w:rsidR="000C7A08"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191. Los planteles educativos constituyen un espacio fundamental para el proceso de enseñanza aprendizaje, donde se presta el servicio público de educación por parte de las autoridades educativas del Estado </w:t>
      </w:r>
    </w:p>
    <w:p w14:paraId="6F163366"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192. Los muebles e inmuebles destinados a la educación impartida por las autoridades educativas estatal y municipales y por los particulares, deberán cumplir con los requisitos de calidad, seguridad, funcionalidad, oportunidad, equidad, sustentabilidad, resiliencia, pertinencia, integralidad, accesibilidad e higiene, incorporando los beneficios del desarrollo de la ciencia y la innovación tecnológica, para proporcionar educación de excelencia y con equidad, conforme a los lineamientos que para tal efecto emita la autoridad educativa federal. La Secretaría de Educación y Deporte coadyuvará con la autoridad educativa federal para mantener actualizado el Sistema Nacional de Información de la Infraestructura Física Educativa, a fin de realizar sobre esta diagnósticos y definir acciones de prevención en materia de seguridad, protección civil y </w:t>
      </w:r>
      <w:r w:rsidRPr="003709C7">
        <w:rPr>
          <w:rFonts w:ascii="Century Gothic" w:hAnsi="Century Gothic"/>
          <w:sz w:val="24"/>
          <w:szCs w:val="24"/>
        </w:rPr>
        <w:lastRenderedPageBreak/>
        <w:t xml:space="preserve">de mantenimiento de los muebles o inmuebles que se destinen al servicio educativo. </w:t>
      </w:r>
    </w:p>
    <w:p w14:paraId="41BEC9D0"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ARTÍCULO 193. La Secretaría de Educación y Deporte, en el ámbito de su competencia, deberá desarrollar la planeación financiera y administrativa que contribuya a optimizar los recursos en materia de espacios educativos al servicio del Sistema Educativo Estatal, realizando las previsiones necesarias para que los recursos económi</w:t>
      </w:r>
      <w:r w:rsidR="005D0487" w:rsidRPr="003709C7">
        <w:rPr>
          <w:rFonts w:ascii="Century Gothic" w:hAnsi="Century Gothic"/>
          <w:sz w:val="24"/>
          <w:szCs w:val="24"/>
        </w:rPr>
        <w:t xml:space="preserve">cos destinados para ese efecto, </w:t>
      </w:r>
      <w:r w:rsidRPr="003709C7">
        <w:rPr>
          <w:rFonts w:ascii="Century Gothic" w:hAnsi="Century Gothic"/>
          <w:sz w:val="24"/>
          <w:szCs w:val="24"/>
        </w:rPr>
        <w:t xml:space="preserve">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 </w:t>
      </w:r>
    </w:p>
    <w:p w14:paraId="4F5110D8" w14:textId="77777777" w:rsidR="005D0487"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194. Para el mantenimiento de los muebles e inmuebles, así como los servicios e instalaciones necesarios para proporcionar los servicios educativos, concurrirán los gobiernos federales, estatales, municipales y, de manera voluntaria, madres y padres de familia o tutores y demás integrantes de la comunidad. </w:t>
      </w:r>
    </w:p>
    <w:p w14:paraId="740017F7" w14:textId="77777777" w:rsidR="005813EB" w:rsidRPr="003709C7" w:rsidRDefault="00C442BF" w:rsidP="00541A5F">
      <w:pPr>
        <w:jc w:val="both"/>
        <w:rPr>
          <w:rFonts w:ascii="Century Gothic" w:hAnsi="Century Gothic"/>
          <w:sz w:val="24"/>
          <w:szCs w:val="24"/>
        </w:rPr>
      </w:pPr>
      <w:r w:rsidRPr="003709C7">
        <w:rPr>
          <w:rFonts w:ascii="Century Gothic" w:hAnsi="Century Gothic"/>
          <w:sz w:val="24"/>
          <w:szCs w:val="24"/>
        </w:rPr>
        <w:t xml:space="preserve">ARTÍCULO 195.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 </w:t>
      </w:r>
    </w:p>
    <w:p w14:paraId="42A45558" w14:textId="77777777" w:rsidR="00541A5F" w:rsidRPr="003709C7" w:rsidRDefault="00C442BF" w:rsidP="00541A5F">
      <w:pPr>
        <w:jc w:val="both"/>
        <w:rPr>
          <w:rFonts w:ascii="Century Gothic" w:hAnsi="Century Gothic"/>
          <w:sz w:val="24"/>
          <w:szCs w:val="24"/>
        </w:rPr>
      </w:pPr>
      <w:r w:rsidRPr="003709C7">
        <w:rPr>
          <w:rFonts w:ascii="Century Gothic" w:hAnsi="Century Gothic"/>
          <w:sz w:val="24"/>
          <w:szCs w:val="24"/>
        </w:rPr>
        <w:t>ARTÍCULO 196. La Secretaría de Educación y Deporte coadyuvará con la Comisión Nacional para la Mejora Continua de la Educación sobre las cualidades de los actores, instituciones o procesos del Sistema Educativo Estatal, con la finalidad de contar con una retroalimentación que promueva una acción de mejora en la educación. La evaluación a la que se refiere este artículo será integral,</w:t>
      </w:r>
      <w:r w:rsidR="009B1E90">
        <w:rPr>
          <w:rFonts w:ascii="Century Gothic" w:hAnsi="Century Gothic"/>
          <w:sz w:val="24"/>
          <w:szCs w:val="24"/>
        </w:rPr>
        <w:t xml:space="preserve"> continua, colectiva</w:t>
      </w:r>
      <w:r w:rsidRPr="003709C7">
        <w:rPr>
          <w:rFonts w:ascii="Century Gothic" w:hAnsi="Century Gothic"/>
          <w:sz w:val="24"/>
          <w:szCs w:val="24"/>
        </w:rPr>
        <w:t xml:space="preserve">, diagnóstica y comunitaria. Valorará el cumplimiento de las responsabilidades de las autoridades educativas sobre la atención de las problemáticas de las escuelas y los avances de las políticas que lleven para el cumplimiento de sus obligaciones en materia educativa. </w:t>
      </w:r>
    </w:p>
    <w:p w14:paraId="356AD920" w14:textId="77777777" w:rsidR="000C7A08" w:rsidRPr="003709C7" w:rsidRDefault="00C442BF" w:rsidP="00541A5F">
      <w:pPr>
        <w:jc w:val="both"/>
        <w:rPr>
          <w:rFonts w:ascii="Century Gothic" w:hAnsi="Century Gothic"/>
          <w:sz w:val="24"/>
          <w:szCs w:val="24"/>
        </w:rPr>
      </w:pPr>
      <w:r w:rsidRPr="003709C7">
        <w:rPr>
          <w:rFonts w:ascii="Century Gothic" w:hAnsi="Century Gothic"/>
          <w:sz w:val="24"/>
          <w:szCs w:val="24"/>
        </w:rPr>
        <w:t>ARTÍCULOS 197 al 234. Se derogan.</w:t>
      </w:r>
    </w:p>
    <w:p w14:paraId="5F187764" w14:textId="77777777" w:rsidR="005813EB" w:rsidRPr="003709C7" w:rsidRDefault="005813EB" w:rsidP="00541A5F">
      <w:pPr>
        <w:jc w:val="both"/>
        <w:rPr>
          <w:rFonts w:ascii="Century Gothic" w:hAnsi="Century Gothic"/>
          <w:sz w:val="24"/>
          <w:szCs w:val="24"/>
        </w:rPr>
      </w:pPr>
    </w:p>
    <w:p w14:paraId="48A91E34" w14:textId="77777777" w:rsidR="005813EB" w:rsidRPr="003709C7" w:rsidRDefault="005813EB" w:rsidP="005813EB">
      <w:pPr>
        <w:tabs>
          <w:tab w:val="center" w:pos="4419"/>
          <w:tab w:val="left" w:pos="6705"/>
        </w:tabs>
        <w:rPr>
          <w:rFonts w:ascii="Century Gothic" w:hAnsi="Century Gothic"/>
          <w:b/>
          <w:sz w:val="24"/>
          <w:szCs w:val="24"/>
        </w:rPr>
      </w:pPr>
      <w:r w:rsidRPr="003709C7">
        <w:rPr>
          <w:rFonts w:ascii="Century Gothic" w:hAnsi="Century Gothic"/>
          <w:b/>
          <w:sz w:val="24"/>
          <w:szCs w:val="24"/>
        </w:rPr>
        <w:tab/>
        <w:t>ARTÍCULOS TRANSITORIOS</w:t>
      </w:r>
      <w:r w:rsidRPr="003709C7">
        <w:rPr>
          <w:rFonts w:ascii="Century Gothic" w:hAnsi="Century Gothic"/>
          <w:b/>
          <w:sz w:val="24"/>
          <w:szCs w:val="24"/>
        </w:rPr>
        <w:tab/>
      </w:r>
    </w:p>
    <w:p w14:paraId="1AF899CB" w14:textId="77777777" w:rsidR="005813EB" w:rsidRPr="003709C7" w:rsidRDefault="005813EB" w:rsidP="005813EB">
      <w:pPr>
        <w:tabs>
          <w:tab w:val="center" w:pos="4419"/>
          <w:tab w:val="left" w:pos="6705"/>
        </w:tabs>
        <w:rPr>
          <w:rFonts w:ascii="Century Gothic" w:hAnsi="Century Gothic"/>
          <w:b/>
          <w:sz w:val="24"/>
          <w:szCs w:val="24"/>
        </w:rPr>
      </w:pPr>
    </w:p>
    <w:p w14:paraId="4E30BF9C" w14:textId="77777777" w:rsidR="005813EB" w:rsidRPr="003709C7" w:rsidRDefault="005813EB" w:rsidP="00541A5F">
      <w:pPr>
        <w:jc w:val="both"/>
        <w:rPr>
          <w:rFonts w:ascii="Century Gothic" w:hAnsi="Century Gothic"/>
          <w:sz w:val="24"/>
          <w:szCs w:val="24"/>
        </w:rPr>
      </w:pPr>
      <w:r w:rsidRPr="003709C7">
        <w:rPr>
          <w:rFonts w:ascii="Century Gothic" w:hAnsi="Century Gothic"/>
          <w:sz w:val="24"/>
          <w:szCs w:val="24"/>
        </w:rPr>
        <w:lastRenderedPageBreak/>
        <w:t xml:space="preserve">PRIMERO.- El presente Decreto entrará en vigor al día siguiente de su publicación en el Periódico Oficial del Estado. </w:t>
      </w:r>
    </w:p>
    <w:p w14:paraId="3F33ACB9" w14:textId="77777777" w:rsidR="005813EB" w:rsidRPr="003709C7" w:rsidRDefault="005813EB" w:rsidP="00541A5F">
      <w:pPr>
        <w:jc w:val="both"/>
        <w:rPr>
          <w:rFonts w:ascii="Century Gothic" w:hAnsi="Century Gothic"/>
          <w:sz w:val="24"/>
          <w:szCs w:val="24"/>
        </w:rPr>
      </w:pPr>
      <w:r w:rsidRPr="003709C7">
        <w:rPr>
          <w:rFonts w:ascii="Century Gothic" w:hAnsi="Century Gothic"/>
          <w:sz w:val="24"/>
          <w:szCs w:val="24"/>
        </w:rPr>
        <w:t xml:space="preserve">SEGUNDO.- Se derogan todas las disposiciones contenidas en otras leyes y quedan sin efectos los reglamentos, acuerdos y disposiciones de carácter general contrarias a este Decreto. </w:t>
      </w:r>
    </w:p>
    <w:p w14:paraId="3C760202" w14:textId="77777777" w:rsidR="005813EB" w:rsidRPr="003709C7" w:rsidRDefault="005813EB" w:rsidP="00541A5F">
      <w:pPr>
        <w:jc w:val="both"/>
        <w:rPr>
          <w:rFonts w:ascii="Century Gothic" w:hAnsi="Century Gothic"/>
          <w:sz w:val="24"/>
          <w:szCs w:val="24"/>
        </w:rPr>
      </w:pPr>
      <w:r w:rsidRPr="003709C7">
        <w:rPr>
          <w:rFonts w:ascii="Century Gothic" w:hAnsi="Century Gothic"/>
          <w:sz w:val="24"/>
          <w:szCs w:val="24"/>
        </w:rPr>
        <w:t xml:space="preserve">TERCERO.- El Gobierno del Estado de Chihuahua respetará íntegramente los derechos adquiridos de los trabajadores de la educación, establecidos en minutas, convenios y acuerdos, de conformidad con el Marco Normativo Vigente; dejando sin efecto los actos que generaron detrimento en los derechos de los trabajadores de la educación con la aplicación de la abrogada Ley General de Servicio Profesional Docente. Asimismo, promoverá, operará e instrumentará programas de beneficios y/o prestaciones laborales, profesionales, salariales y sociales atendiendo a los convenios, minutas y cualquier otro instrumento legal celebrado por el Gobierno del Estado y la representación de los Trabajadores. </w:t>
      </w:r>
    </w:p>
    <w:p w14:paraId="1637E789" w14:textId="77777777" w:rsidR="005813EB" w:rsidRPr="003709C7" w:rsidRDefault="005813EB" w:rsidP="00541A5F">
      <w:pPr>
        <w:jc w:val="both"/>
        <w:rPr>
          <w:rFonts w:ascii="Century Gothic" w:hAnsi="Century Gothic"/>
          <w:sz w:val="24"/>
          <w:szCs w:val="24"/>
        </w:rPr>
      </w:pPr>
      <w:r w:rsidRPr="003709C7">
        <w:rPr>
          <w:rFonts w:ascii="Century Gothic" w:hAnsi="Century Gothic"/>
          <w:sz w:val="24"/>
          <w:szCs w:val="24"/>
        </w:rPr>
        <w:t xml:space="preserve">CUARTO.- La Secretaría del ramo deberá emitir y adecuar los reglamentos, acuerdos, lineamientos y demás disposiciones de carácter general conforme a lo establecido en este Decreto, en un plazo no mayor a ciento ochenta días hábiles siguientes contados a partir de su entrada en vigor. </w:t>
      </w:r>
    </w:p>
    <w:p w14:paraId="79BA4051" w14:textId="77777777" w:rsidR="005813EB" w:rsidRPr="003709C7" w:rsidRDefault="005813EB" w:rsidP="00541A5F">
      <w:pPr>
        <w:jc w:val="both"/>
        <w:rPr>
          <w:rFonts w:ascii="Century Gothic" w:hAnsi="Century Gothic"/>
          <w:sz w:val="24"/>
          <w:szCs w:val="24"/>
        </w:rPr>
      </w:pPr>
      <w:r w:rsidRPr="003709C7">
        <w:rPr>
          <w:rFonts w:ascii="Century Gothic" w:hAnsi="Century Gothic"/>
          <w:sz w:val="24"/>
          <w:szCs w:val="24"/>
        </w:rPr>
        <w:t>D A D O en el Salón de Sesiones del Poder Legislativo, en la ciudad de Chihuahua, Chih., a los 29 días del mes</w:t>
      </w:r>
      <w:r w:rsidR="003936F9">
        <w:rPr>
          <w:rFonts w:ascii="Century Gothic" w:hAnsi="Century Gothic"/>
          <w:sz w:val="24"/>
          <w:szCs w:val="24"/>
        </w:rPr>
        <w:t xml:space="preserve"> de Noviembre</w:t>
      </w:r>
      <w:r w:rsidRPr="003709C7">
        <w:rPr>
          <w:rFonts w:ascii="Century Gothic" w:hAnsi="Century Gothic"/>
          <w:sz w:val="24"/>
          <w:szCs w:val="24"/>
        </w:rPr>
        <w:t xml:space="preserve"> del año 2022.</w:t>
      </w:r>
    </w:p>
    <w:p w14:paraId="7942638D" w14:textId="77777777" w:rsidR="001901FB" w:rsidRPr="003709C7" w:rsidRDefault="001901FB" w:rsidP="00541A5F">
      <w:pPr>
        <w:jc w:val="both"/>
        <w:rPr>
          <w:rFonts w:ascii="Century Gothic" w:hAnsi="Century Gothic"/>
          <w:sz w:val="24"/>
          <w:szCs w:val="24"/>
        </w:rPr>
      </w:pPr>
    </w:p>
    <w:p w14:paraId="02F20972" w14:textId="77777777" w:rsidR="001901FB" w:rsidRPr="003709C7" w:rsidRDefault="001901FB" w:rsidP="00541A5F">
      <w:pPr>
        <w:jc w:val="both"/>
        <w:rPr>
          <w:rFonts w:ascii="Century Gothic" w:hAnsi="Century Gothic"/>
          <w:sz w:val="24"/>
          <w:szCs w:val="24"/>
        </w:rPr>
      </w:pPr>
    </w:p>
    <w:p w14:paraId="1A60F936" w14:textId="77777777" w:rsidR="00A326A3" w:rsidRPr="00A326A3" w:rsidRDefault="00A326A3" w:rsidP="00A326A3">
      <w:pPr>
        <w:jc w:val="center"/>
        <w:rPr>
          <w:rFonts w:ascii="Century Gothic" w:hAnsi="Century Gothic" w:cs="Arial"/>
          <w:b/>
          <w:sz w:val="24"/>
          <w:szCs w:val="24"/>
        </w:rPr>
      </w:pPr>
    </w:p>
    <w:p w14:paraId="15455933" w14:textId="77777777" w:rsidR="00A326A3" w:rsidRPr="00A326A3" w:rsidRDefault="00A326A3" w:rsidP="00A326A3">
      <w:pPr>
        <w:jc w:val="center"/>
        <w:rPr>
          <w:rFonts w:ascii="Century Gothic" w:hAnsi="Century Gothic" w:cs="Arial"/>
          <w:b/>
          <w:sz w:val="24"/>
          <w:szCs w:val="24"/>
        </w:rPr>
      </w:pPr>
      <w:r w:rsidRPr="00A326A3">
        <w:rPr>
          <w:rFonts w:ascii="Century Gothic" w:hAnsi="Century Gothic" w:cs="Arial"/>
          <w:b/>
          <w:sz w:val="24"/>
          <w:szCs w:val="24"/>
        </w:rPr>
        <w:t>A T E N T A M E N T E</w:t>
      </w:r>
    </w:p>
    <w:p w14:paraId="207BB612" w14:textId="77777777" w:rsidR="00A326A3" w:rsidRPr="00A326A3" w:rsidRDefault="00A326A3" w:rsidP="00A326A3">
      <w:pPr>
        <w:spacing w:line="240" w:lineRule="auto"/>
        <w:contextualSpacing/>
        <w:jc w:val="center"/>
        <w:rPr>
          <w:rFonts w:ascii="Century Gothic" w:hAnsi="Century Gothic" w:cs="Arial"/>
          <w:b/>
          <w:sz w:val="24"/>
          <w:szCs w:val="24"/>
          <w:shd w:val="clear" w:color="auto" w:fill="FFFFFF"/>
        </w:rPr>
      </w:pPr>
    </w:p>
    <w:p w14:paraId="4504A163" w14:textId="77777777" w:rsidR="00A326A3" w:rsidRPr="00A326A3" w:rsidRDefault="00A326A3" w:rsidP="00A326A3">
      <w:pPr>
        <w:spacing w:line="240" w:lineRule="auto"/>
        <w:contextualSpacing/>
        <w:jc w:val="both"/>
        <w:rPr>
          <w:rFonts w:ascii="Century Gothic" w:hAnsi="Century Gothic" w:cs="Arial"/>
          <w:b/>
          <w:sz w:val="24"/>
          <w:szCs w:val="24"/>
          <w:shd w:val="clear" w:color="auto" w:fill="FFFFFF"/>
        </w:rPr>
      </w:pPr>
    </w:p>
    <w:p w14:paraId="5DB02C6E" w14:textId="77777777" w:rsidR="00A326A3" w:rsidRPr="00A326A3" w:rsidRDefault="00A326A3" w:rsidP="00A326A3">
      <w:pPr>
        <w:spacing w:line="240" w:lineRule="auto"/>
        <w:contextualSpacing/>
        <w:jc w:val="both"/>
        <w:rPr>
          <w:rFonts w:ascii="Century Gothic" w:hAnsi="Century Gothic" w:cs="Arial"/>
          <w:b/>
          <w:sz w:val="24"/>
          <w:szCs w:val="24"/>
          <w:shd w:val="clear" w:color="auto" w:fill="FFFFFF"/>
        </w:rPr>
      </w:pPr>
    </w:p>
    <w:p w14:paraId="4AA54D27" w14:textId="77777777" w:rsidR="00A326A3" w:rsidRPr="00A326A3" w:rsidRDefault="00A326A3" w:rsidP="00A326A3">
      <w:pPr>
        <w:spacing w:line="240" w:lineRule="auto"/>
        <w:contextualSpacing/>
        <w:jc w:val="both"/>
        <w:rPr>
          <w:rFonts w:ascii="Century Gothic" w:hAnsi="Century Gothic" w:cs="Arial"/>
          <w:b/>
          <w:sz w:val="24"/>
          <w:szCs w:val="24"/>
          <w:shd w:val="clear" w:color="auto" w:fill="FFFFFF"/>
        </w:rPr>
      </w:pPr>
    </w:p>
    <w:p w14:paraId="428DBF2A" w14:textId="77777777" w:rsidR="00A326A3" w:rsidRPr="00A326A3" w:rsidRDefault="00A326A3" w:rsidP="00A326A3">
      <w:pPr>
        <w:spacing w:line="240" w:lineRule="auto"/>
        <w:contextualSpacing/>
        <w:jc w:val="center"/>
        <w:rPr>
          <w:rFonts w:ascii="Century Gothic" w:hAnsi="Century Gothic" w:cs="Arial"/>
          <w:b/>
          <w:sz w:val="24"/>
          <w:szCs w:val="24"/>
          <w:shd w:val="clear" w:color="auto" w:fill="FFFFFF"/>
        </w:rPr>
      </w:pPr>
    </w:p>
    <w:p w14:paraId="52EB7A9C" w14:textId="77777777" w:rsidR="00A326A3" w:rsidRPr="00A326A3" w:rsidRDefault="00A326A3" w:rsidP="00A326A3">
      <w:pPr>
        <w:spacing w:line="240" w:lineRule="auto"/>
        <w:contextualSpacing/>
        <w:jc w:val="center"/>
        <w:rPr>
          <w:rFonts w:ascii="Century Gothic" w:hAnsi="Century Gothic" w:cs="Arial"/>
          <w:b/>
          <w:sz w:val="24"/>
          <w:szCs w:val="24"/>
          <w:shd w:val="clear" w:color="auto" w:fill="FFFFFF"/>
        </w:rPr>
      </w:pPr>
      <w:r w:rsidRPr="00A326A3">
        <w:rPr>
          <w:rFonts w:ascii="Century Gothic" w:hAnsi="Century Gothic" w:cs="Arial"/>
          <w:b/>
          <w:bCs/>
          <w:sz w:val="24"/>
          <w:szCs w:val="24"/>
        </w:rPr>
        <w:t>DIP. ÓSCAR DANIEL AVITIA ARELLANES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326A3" w:rsidRPr="00A326A3" w14:paraId="0B724511" w14:textId="77777777" w:rsidTr="004E33E8">
        <w:trPr>
          <w:trHeight w:val="1984"/>
        </w:trPr>
        <w:tc>
          <w:tcPr>
            <w:tcW w:w="4414" w:type="dxa"/>
            <w:vAlign w:val="bottom"/>
          </w:tcPr>
          <w:p w14:paraId="2ECB9009"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lastRenderedPageBreak/>
              <w:t>DIP. LETICIA ORTEGA</w:t>
            </w:r>
          </w:p>
          <w:p w14:paraId="5261692F"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MÁYNEZ</w:t>
            </w:r>
          </w:p>
        </w:tc>
        <w:tc>
          <w:tcPr>
            <w:tcW w:w="4414" w:type="dxa"/>
            <w:vAlign w:val="bottom"/>
          </w:tcPr>
          <w:p w14:paraId="7E0D0796"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ROSANA DÍAZ</w:t>
            </w:r>
          </w:p>
          <w:p w14:paraId="54E90BB0"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REYES</w:t>
            </w:r>
          </w:p>
        </w:tc>
      </w:tr>
      <w:tr w:rsidR="00A326A3" w:rsidRPr="00A326A3" w14:paraId="08AC30BF" w14:textId="77777777" w:rsidTr="004E33E8">
        <w:trPr>
          <w:trHeight w:val="1984"/>
        </w:trPr>
        <w:tc>
          <w:tcPr>
            <w:tcW w:w="4414" w:type="dxa"/>
            <w:vAlign w:val="bottom"/>
          </w:tcPr>
          <w:p w14:paraId="39D066C2"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GUSTAVO DE LA ROSA HICKERSON</w:t>
            </w:r>
          </w:p>
        </w:tc>
        <w:tc>
          <w:tcPr>
            <w:tcW w:w="4414" w:type="dxa"/>
            <w:vAlign w:val="bottom"/>
          </w:tcPr>
          <w:p w14:paraId="0B02E231"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sz w:val="24"/>
                <w:szCs w:val="24"/>
              </w:rPr>
              <w:t>DIP.</w:t>
            </w:r>
            <w:r w:rsidRPr="00A326A3">
              <w:rPr>
                <w:rFonts w:ascii="Century Gothic" w:eastAsia="Times New Roman" w:hAnsi="Century Gothic" w:cs="Arial"/>
                <w:b/>
                <w:sz w:val="24"/>
                <w:szCs w:val="24"/>
              </w:rPr>
              <w:t xml:space="preserve"> EDIN CUAUHTÉMOC ESTRADA SOTELO</w:t>
            </w:r>
          </w:p>
        </w:tc>
      </w:tr>
      <w:tr w:rsidR="00A326A3" w:rsidRPr="00A326A3" w14:paraId="04CA5D04" w14:textId="77777777" w:rsidTr="004E33E8">
        <w:trPr>
          <w:trHeight w:val="1984"/>
        </w:trPr>
        <w:tc>
          <w:tcPr>
            <w:tcW w:w="4414" w:type="dxa"/>
            <w:vAlign w:val="bottom"/>
          </w:tcPr>
          <w:p w14:paraId="50D6B2AD" w14:textId="77777777" w:rsidR="00A326A3" w:rsidRPr="00A326A3" w:rsidRDefault="00A326A3" w:rsidP="00A326A3">
            <w:pPr>
              <w:jc w:val="center"/>
              <w:rPr>
                <w:rFonts w:ascii="Century Gothic" w:hAnsi="Century Gothic" w:cs="Arial"/>
                <w:b/>
                <w:bCs/>
                <w:sz w:val="24"/>
                <w:szCs w:val="24"/>
              </w:rPr>
            </w:pPr>
            <w:r w:rsidRPr="00A326A3">
              <w:rPr>
                <w:rFonts w:ascii="Century Gothic" w:eastAsia="Times New Roman" w:hAnsi="Century Gothic" w:cs="Arial"/>
                <w:b/>
                <w:sz w:val="24"/>
                <w:szCs w:val="24"/>
              </w:rPr>
              <w:t>DIP. MAGDALENA RENTERÍA PÉREZ</w:t>
            </w:r>
          </w:p>
        </w:tc>
        <w:tc>
          <w:tcPr>
            <w:tcW w:w="4414" w:type="dxa"/>
            <w:vAlign w:val="bottom"/>
          </w:tcPr>
          <w:p w14:paraId="579185E4"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MARÍA ANTONIETA PÉREZ REYES</w:t>
            </w:r>
          </w:p>
        </w:tc>
      </w:tr>
      <w:tr w:rsidR="00A326A3" w:rsidRPr="00A326A3" w14:paraId="3FFC34E3" w14:textId="77777777" w:rsidTr="004E33E8">
        <w:trPr>
          <w:trHeight w:val="1984"/>
        </w:trPr>
        <w:tc>
          <w:tcPr>
            <w:tcW w:w="4414" w:type="dxa"/>
            <w:vAlign w:val="bottom"/>
          </w:tcPr>
          <w:p w14:paraId="625F061E"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AMERICA GARCIA SOTO</w:t>
            </w:r>
          </w:p>
          <w:p w14:paraId="727A986B" w14:textId="77777777" w:rsidR="00A326A3" w:rsidRPr="00A326A3" w:rsidRDefault="00A326A3" w:rsidP="00A326A3">
            <w:pPr>
              <w:jc w:val="center"/>
              <w:rPr>
                <w:rFonts w:ascii="Century Gothic" w:hAnsi="Century Gothic" w:cs="Arial"/>
                <w:b/>
                <w:bCs/>
                <w:sz w:val="24"/>
                <w:szCs w:val="24"/>
              </w:rPr>
            </w:pPr>
          </w:p>
        </w:tc>
        <w:tc>
          <w:tcPr>
            <w:tcW w:w="4414" w:type="dxa"/>
            <w:vAlign w:val="bottom"/>
          </w:tcPr>
          <w:p w14:paraId="643633CF"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BENJAMÍN CARRERA</w:t>
            </w:r>
          </w:p>
          <w:p w14:paraId="0E6E7E9E"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CHÁVEZ</w:t>
            </w:r>
          </w:p>
        </w:tc>
      </w:tr>
      <w:tr w:rsidR="00A326A3" w:rsidRPr="00A326A3" w14:paraId="74517D92" w14:textId="77777777" w:rsidTr="004E33E8">
        <w:trPr>
          <w:trHeight w:val="1984"/>
        </w:trPr>
        <w:tc>
          <w:tcPr>
            <w:tcW w:w="4414" w:type="dxa"/>
            <w:vAlign w:val="bottom"/>
          </w:tcPr>
          <w:p w14:paraId="4985B8DD"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DIP. DAVID OSCAR CASTREJÓN</w:t>
            </w:r>
          </w:p>
          <w:p w14:paraId="2A11CC4E" w14:textId="77777777" w:rsidR="00A326A3" w:rsidRPr="00A326A3" w:rsidRDefault="00A326A3" w:rsidP="00A326A3">
            <w:pPr>
              <w:jc w:val="center"/>
              <w:rPr>
                <w:rFonts w:ascii="Century Gothic" w:hAnsi="Century Gothic" w:cs="Arial"/>
                <w:b/>
                <w:bCs/>
                <w:sz w:val="24"/>
                <w:szCs w:val="24"/>
              </w:rPr>
            </w:pPr>
            <w:r w:rsidRPr="00A326A3">
              <w:rPr>
                <w:rFonts w:ascii="Century Gothic" w:hAnsi="Century Gothic" w:cs="Arial"/>
                <w:b/>
                <w:bCs/>
                <w:sz w:val="24"/>
                <w:szCs w:val="24"/>
              </w:rPr>
              <w:t>RIVAS</w:t>
            </w:r>
          </w:p>
        </w:tc>
        <w:tc>
          <w:tcPr>
            <w:tcW w:w="4414" w:type="dxa"/>
          </w:tcPr>
          <w:p w14:paraId="07D793E5" w14:textId="77777777" w:rsidR="00A326A3" w:rsidRPr="00A326A3" w:rsidRDefault="00A326A3" w:rsidP="00A326A3">
            <w:pPr>
              <w:jc w:val="center"/>
              <w:rPr>
                <w:rFonts w:ascii="Century Gothic" w:hAnsi="Century Gothic" w:cs="Arial"/>
                <w:sz w:val="24"/>
                <w:szCs w:val="24"/>
              </w:rPr>
            </w:pPr>
          </w:p>
        </w:tc>
      </w:tr>
    </w:tbl>
    <w:p w14:paraId="754B51E2" w14:textId="77777777" w:rsidR="001901FB" w:rsidRPr="003709C7" w:rsidRDefault="001901FB" w:rsidP="00541A5F">
      <w:pPr>
        <w:jc w:val="both"/>
        <w:rPr>
          <w:rFonts w:ascii="Century Gothic" w:hAnsi="Century Gothic"/>
          <w:sz w:val="24"/>
          <w:szCs w:val="24"/>
        </w:rPr>
      </w:pPr>
    </w:p>
    <w:p w14:paraId="65913114" w14:textId="77777777" w:rsidR="001901FB" w:rsidRPr="003709C7" w:rsidRDefault="001901FB" w:rsidP="00541A5F">
      <w:pPr>
        <w:jc w:val="both"/>
        <w:rPr>
          <w:rFonts w:ascii="Century Gothic" w:hAnsi="Century Gothic"/>
          <w:sz w:val="24"/>
          <w:szCs w:val="24"/>
        </w:rPr>
      </w:pPr>
    </w:p>
    <w:p w14:paraId="0E14AE5A" w14:textId="77777777" w:rsidR="001901FB" w:rsidRPr="003709C7" w:rsidRDefault="001901FB" w:rsidP="00541A5F">
      <w:pPr>
        <w:jc w:val="both"/>
        <w:rPr>
          <w:rFonts w:ascii="Century Gothic" w:hAnsi="Century Gothic"/>
          <w:sz w:val="24"/>
          <w:szCs w:val="24"/>
        </w:rPr>
      </w:pPr>
    </w:p>
    <w:p w14:paraId="4A715D41" w14:textId="77777777" w:rsidR="001901FB" w:rsidRPr="003709C7" w:rsidRDefault="001901FB" w:rsidP="00541A5F">
      <w:pPr>
        <w:jc w:val="both"/>
        <w:rPr>
          <w:rFonts w:ascii="Century Gothic" w:hAnsi="Century Gothic"/>
          <w:sz w:val="24"/>
          <w:szCs w:val="24"/>
        </w:rPr>
      </w:pPr>
    </w:p>
    <w:p w14:paraId="7A13670B" w14:textId="77777777" w:rsidR="001901FB" w:rsidRPr="003709C7" w:rsidRDefault="001901FB" w:rsidP="00541A5F">
      <w:pPr>
        <w:jc w:val="both"/>
        <w:rPr>
          <w:rFonts w:ascii="Century Gothic" w:hAnsi="Century Gothic"/>
          <w:sz w:val="24"/>
          <w:szCs w:val="24"/>
        </w:rPr>
      </w:pPr>
    </w:p>
    <w:p w14:paraId="5565086E" w14:textId="77777777" w:rsidR="001901FB" w:rsidRPr="003709C7" w:rsidRDefault="001901FB" w:rsidP="00541A5F">
      <w:pPr>
        <w:jc w:val="both"/>
        <w:rPr>
          <w:rFonts w:ascii="Century Gothic" w:hAnsi="Century Gothic"/>
          <w:sz w:val="24"/>
          <w:szCs w:val="24"/>
        </w:rPr>
      </w:pPr>
    </w:p>
    <w:p w14:paraId="2001527C" w14:textId="77777777" w:rsidR="001901FB" w:rsidRPr="003709C7" w:rsidRDefault="001901FB" w:rsidP="00541A5F">
      <w:pPr>
        <w:jc w:val="both"/>
        <w:rPr>
          <w:rFonts w:ascii="Century Gothic" w:hAnsi="Century Gothic"/>
          <w:sz w:val="24"/>
          <w:szCs w:val="24"/>
        </w:rPr>
      </w:pPr>
    </w:p>
    <w:p w14:paraId="6DC60F73" w14:textId="77777777" w:rsidR="001901FB" w:rsidRPr="003709C7" w:rsidRDefault="001901FB" w:rsidP="00541A5F">
      <w:pPr>
        <w:jc w:val="both"/>
        <w:rPr>
          <w:rFonts w:ascii="Century Gothic" w:hAnsi="Century Gothic"/>
          <w:sz w:val="24"/>
          <w:szCs w:val="24"/>
        </w:rPr>
      </w:pPr>
    </w:p>
    <w:p w14:paraId="624B95A7" w14:textId="77777777" w:rsidR="001901FB" w:rsidRPr="003709C7" w:rsidRDefault="001901FB" w:rsidP="00541A5F">
      <w:pPr>
        <w:jc w:val="both"/>
        <w:rPr>
          <w:rFonts w:ascii="Century Gothic" w:hAnsi="Century Gothic"/>
          <w:sz w:val="24"/>
          <w:szCs w:val="24"/>
        </w:rPr>
      </w:pPr>
    </w:p>
    <w:p w14:paraId="08B910A5" w14:textId="77777777" w:rsidR="001901FB" w:rsidRPr="003709C7" w:rsidRDefault="001901FB" w:rsidP="00541A5F">
      <w:pPr>
        <w:jc w:val="both"/>
        <w:rPr>
          <w:rFonts w:ascii="Century Gothic" w:hAnsi="Century Gothic"/>
          <w:sz w:val="24"/>
          <w:szCs w:val="24"/>
        </w:rPr>
      </w:pPr>
    </w:p>
    <w:p w14:paraId="3EC04FC6" w14:textId="77777777" w:rsidR="001901FB" w:rsidRPr="003709C7" w:rsidRDefault="001901FB" w:rsidP="00541A5F">
      <w:pPr>
        <w:jc w:val="both"/>
        <w:rPr>
          <w:rFonts w:ascii="Century Gothic" w:hAnsi="Century Gothic"/>
          <w:sz w:val="24"/>
          <w:szCs w:val="24"/>
        </w:rPr>
      </w:pPr>
    </w:p>
    <w:p w14:paraId="72C143DB" w14:textId="77777777" w:rsidR="001901FB" w:rsidRPr="003709C7" w:rsidRDefault="001901FB" w:rsidP="00541A5F">
      <w:pPr>
        <w:jc w:val="both"/>
        <w:rPr>
          <w:rFonts w:ascii="Century Gothic" w:hAnsi="Century Gothic"/>
          <w:sz w:val="24"/>
          <w:szCs w:val="24"/>
        </w:rPr>
      </w:pPr>
    </w:p>
    <w:p w14:paraId="7B551C18" w14:textId="77777777" w:rsidR="001901FB" w:rsidRPr="003709C7" w:rsidRDefault="001901FB" w:rsidP="00541A5F">
      <w:pPr>
        <w:jc w:val="both"/>
        <w:rPr>
          <w:rFonts w:ascii="Century Gothic" w:hAnsi="Century Gothic"/>
          <w:sz w:val="24"/>
          <w:szCs w:val="24"/>
        </w:rPr>
      </w:pPr>
    </w:p>
    <w:p w14:paraId="0B23C885" w14:textId="77777777" w:rsidR="001901FB" w:rsidRPr="003709C7" w:rsidRDefault="001901FB" w:rsidP="00541A5F">
      <w:pPr>
        <w:jc w:val="both"/>
        <w:rPr>
          <w:rFonts w:ascii="Century Gothic" w:hAnsi="Century Gothic"/>
          <w:sz w:val="24"/>
          <w:szCs w:val="24"/>
        </w:rPr>
      </w:pPr>
    </w:p>
    <w:p w14:paraId="76D05D45" w14:textId="77777777" w:rsidR="001901FB" w:rsidRPr="003709C7" w:rsidRDefault="001901FB" w:rsidP="00541A5F">
      <w:pPr>
        <w:jc w:val="both"/>
        <w:rPr>
          <w:rFonts w:ascii="Century Gothic" w:hAnsi="Century Gothic"/>
          <w:sz w:val="24"/>
          <w:szCs w:val="24"/>
        </w:rPr>
      </w:pPr>
    </w:p>
    <w:p w14:paraId="329720CB" w14:textId="77777777" w:rsidR="001901FB" w:rsidRPr="003709C7" w:rsidRDefault="001901FB" w:rsidP="00541A5F">
      <w:pPr>
        <w:jc w:val="both"/>
        <w:rPr>
          <w:rFonts w:ascii="Century Gothic" w:hAnsi="Century Gothic"/>
          <w:sz w:val="24"/>
          <w:szCs w:val="24"/>
        </w:rPr>
      </w:pPr>
    </w:p>
    <w:p w14:paraId="6AD1E7FB" w14:textId="77777777" w:rsidR="001901FB" w:rsidRPr="003709C7" w:rsidRDefault="001901FB" w:rsidP="00541A5F">
      <w:pPr>
        <w:jc w:val="both"/>
        <w:rPr>
          <w:rFonts w:ascii="Century Gothic" w:hAnsi="Century Gothic"/>
          <w:sz w:val="24"/>
          <w:szCs w:val="24"/>
        </w:rPr>
      </w:pPr>
    </w:p>
    <w:p w14:paraId="11BD7907" w14:textId="77777777" w:rsidR="001901FB" w:rsidRPr="003709C7" w:rsidRDefault="001901FB" w:rsidP="00541A5F">
      <w:pPr>
        <w:jc w:val="both"/>
        <w:rPr>
          <w:rFonts w:ascii="Century Gothic" w:hAnsi="Century Gothic"/>
          <w:sz w:val="24"/>
          <w:szCs w:val="24"/>
        </w:rPr>
      </w:pPr>
    </w:p>
    <w:p w14:paraId="2CD8CA4D" w14:textId="77777777" w:rsidR="001901FB" w:rsidRPr="003709C7" w:rsidRDefault="001901FB" w:rsidP="00541A5F">
      <w:pPr>
        <w:jc w:val="both"/>
        <w:rPr>
          <w:rFonts w:ascii="Century Gothic" w:hAnsi="Century Gothic"/>
          <w:sz w:val="24"/>
          <w:szCs w:val="24"/>
        </w:rPr>
      </w:pPr>
    </w:p>
    <w:p w14:paraId="13D5ADC3" w14:textId="77777777" w:rsidR="001901FB" w:rsidRPr="003709C7" w:rsidRDefault="001901FB" w:rsidP="00541A5F">
      <w:pPr>
        <w:jc w:val="both"/>
        <w:rPr>
          <w:rFonts w:ascii="Century Gothic" w:hAnsi="Century Gothic"/>
          <w:sz w:val="24"/>
          <w:szCs w:val="24"/>
        </w:rPr>
      </w:pPr>
    </w:p>
    <w:p w14:paraId="0777D7C0" w14:textId="77777777" w:rsidR="001901FB" w:rsidRPr="003709C7" w:rsidRDefault="001901FB" w:rsidP="00541A5F">
      <w:pPr>
        <w:jc w:val="both"/>
        <w:rPr>
          <w:rFonts w:ascii="Century Gothic" w:hAnsi="Century Gothic"/>
          <w:sz w:val="24"/>
          <w:szCs w:val="24"/>
        </w:rPr>
      </w:pPr>
    </w:p>
    <w:p w14:paraId="1B9CA649" w14:textId="77777777" w:rsidR="001901FB" w:rsidRPr="003709C7" w:rsidRDefault="001901FB" w:rsidP="00541A5F">
      <w:pPr>
        <w:jc w:val="both"/>
        <w:rPr>
          <w:rFonts w:ascii="Century Gothic" w:hAnsi="Century Gothic"/>
          <w:sz w:val="24"/>
          <w:szCs w:val="24"/>
        </w:rPr>
      </w:pPr>
    </w:p>
    <w:p w14:paraId="63A40793" w14:textId="77777777" w:rsidR="001901FB" w:rsidRPr="003709C7" w:rsidRDefault="001901FB" w:rsidP="00541A5F">
      <w:pPr>
        <w:jc w:val="both"/>
        <w:rPr>
          <w:rFonts w:ascii="Century Gothic" w:hAnsi="Century Gothic"/>
          <w:sz w:val="24"/>
          <w:szCs w:val="24"/>
        </w:rPr>
      </w:pPr>
    </w:p>
    <w:p w14:paraId="26C37011" w14:textId="77777777" w:rsidR="001901FB" w:rsidRPr="003709C7" w:rsidRDefault="001901FB" w:rsidP="00541A5F">
      <w:pPr>
        <w:jc w:val="both"/>
        <w:rPr>
          <w:rFonts w:ascii="Century Gothic" w:hAnsi="Century Gothic"/>
          <w:sz w:val="24"/>
          <w:szCs w:val="24"/>
        </w:rPr>
      </w:pPr>
    </w:p>
    <w:p w14:paraId="32AEF19A" w14:textId="77777777" w:rsidR="001901FB" w:rsidRPr="003709C7" w:rsidRDefault="001901FB" w:rsidP="00541A5F">
      <w:pPr>
        <w:jc w:val="both"/>
        <w:rPr>
          <w:rFonts w:ascii="Century Gothic" w:hAnsi="Century Gothic"/>
          <w:sz w:val="24"/>
          <w:szCs w:val="24"/>
        </w:rPr>
      </w:pPr>
    </w:p>
    <w:p w14:paraId="7C7767F9" w14:textId="77777777" w:rsidR="001901FB" w:rsidRPr="003709C7" w:rsidRDefault="001901FB" w:rsidP="00541A5F">
      <w:pPr>
        <w:jc w:val="both"/>
        <w:rPr>
          <w:rFonts w:ascii="Century Gothic" w:hAnsi="Century Gothic"/>
          <w:sz w:val="24"/>
          <w:szCs w:val="24"/>
        </w:rPr>
      </w:pPr>
    </w:p>
    <w:p w14:paraId="0BDCC328" w14:textId="77777777" w:rsidR="001901FB" w:rsidRPr="003709C7" w:rsidRDefault="001901FB" w:rsidP="00541A5F">
      <w:pPr>
        <w:jc w:val="both"/>
        <w:rPr>
          <w:rFonts w:ascii="Century Gothic" w:hAnsi="Century Gothic"/>
          <w:sz w:val="24"/>
          <w:szCs w:val="24"/>
        </w:rPr>
      </w:pPr>
    </w:p>
    <w:sectPr w:rsidR="001901FB" w:rsidRPr="003709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11"/>
    <w:rsid w:val="000629AD"/>
    <w:rsid w:val="000C7A08"/>
    <w:rsid w:val="0013670B"/>
    <w:rsid w:val="001901FB"/>
    <w:rsid w:val="001D0424"/>
    <w:rsid w:val="001E3697"/>
    <w:rsid w:val="003709C7"/>
    <w:rsid w:val="003936F9"/>
    <w:rsid w:val="003C65E4"/>
    <w:rsid w:val="00434CB5"/>
    <w:rsid w:val="00541A5F"/>
    <w:rsid w:val="00553FE8"/>
    <w:rsid w:val="005813EB"/>
    <w:rsid w:val="005D0487"/>
    <w:rsid w:val="005E60C3"/>
    <w:rsid w:val="0070415E"/>
    <w:rsid w:val="00955394"/>
    <w:rsid w:val="009B1E90"/>
    <w:rsid w:val="00A326A3"/>
    <w:rsid w:val="00AD7275"/>
    <w:rsid w:val="00B12809"/>
    <w:rsid w:val="00B67949"/>
    <w:rsid w:val="00B7157E"/>
    <w:rsid w:val="00BB289C"/>
    <w:rsid w:val="00C442BF"/>
    <w:rsid w:val="00C72630"/>
    <w:rsid w:val="00DB0F90"/>
    <w:rsid w:val="00EE3611"/>
    <w:rsid w:val="00F30C3C"/>
    <w:rsid w:val="00FE2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682"/>
  <w15:chartTrackingRefBased/>
  <w15:docId w15:val="{94DF6F3D-B914-415C-A213-D1EA401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15E"/>
    <w:pPr>
      <w:ind w:left="720"/>
      <w:contextualSpacing/>
    </w:pPr>
  </w:style>
  <w:style w:type="table" w:styleId="Tablaconcuadrcula">
    <w:name w:val="Table Grid"/>
    <w:basedOn w:val="Tablanormal"/>
    <w:uiPriority w:val="39"/>
    <w:rsid w:val="00A3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9678</Words>
  <Characters>53235</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Priscila Soto Jimenez</cp:lastModifiedBy>
  <cp:revision>2</cp:revision>
  <dcterms:created xsi:type="dcterms:W3CDTF">2022-11-28T22:16:00Z</dcterms:created>
  <dcterms:modified xsi:type="dcterms:W3CDTF">2022-11-28T22:16:00Z</dcterms:modified>
</cp:coreProperties>
</file>