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6741" w14:textId="77777777" w:rsidR="00EC382C" w:rsidRPr="009F7569" w:rsidRDefault="00EC382C" w:rsidP="00EC382C">
      <w:pPr>
        <w:spacing w:after="120" w:line="480" w:lineRule="auto"/>
        <w:jc w:val="both"/>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H. CONGRESO DEL ESTADO DE CHIHUAHUA</w:t>
      </w:r>
    </w:p>
    <w:p w14:paraId="2BAC04B4" w14:textId="77777777" w:rsidR="00EC382C" w:rsidRPr="009F7569" w:rsidRDefault="00EC382C" w:rsidP="00EC382C">
      <w:pPr>
        <w:spacing w:after="120" w:line="480" w:lineRule="auto"/>
        <w:jc w:val="both"/>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 xml:space="preserve">P R E S E N T E. </w:t>
      </w:r>
    </w:p>
    <w:p w14:paraId="013D29F0" w14:textId="2725FBB9" w:rsidR="00EC382C" w:rsidRPr="009F7569" w:rsidRDefault="00EC382C" w:rsidP="003F779D">
      <w:pPr>
        <w:spacing w:after="120" w:line="360" w:lineRule="auto"/>
        <w:jc w:val="both"/>
        <w:rPr>
          <w:rFonts w:ascii="Century Gothic" w:hAnsi="Century Gothic"/>
          <w:b/>
          <w:bCs/>
          <w:sz w:val="24"/>
          <w:szCs w:val="24"/>
        </w:rPr>
      </w:pPr>
      <w:r w:rsidRPr="009F7569">
        <w:rPr>
          <w:rFonts w:ascii="Century Gothic" w:eastAsia="Century Gothic" w:hAnsi="Century Gothic" w:cs="Century Gothic"/>
          <w:sz w:val="24"/>
          <w:szCs w:val="24"/>
        </w:rPr>
        <w:t xml:space="preserve">Los que suscriben </w:t>
      </w:r>
      <w:r w:rsidRPr="009F7569">
        <w:rPr>
          <w:rFonts w:ascii="Century Gothic" w:eastAsia="Century Gothic" w:hAnsi="Century Gothic" w:cs="Century Gothic"/>
          <w:b/>
          <w:sz w:val="24"/>
          <w:szCs w:val="24"/>
        </w:rPr>
        <w:t xml:space="preserve">Edin Cuauhtémoc Estrada Sotelo, Óscar Daniel Avitia Arellanes, Rosana Díaz Reyes, Gustavo De la Rosa </w:t>
      </w:r>
      <w:proofErr w:type="spellStart"/>
      <w:r w:rsidRPr="009F7569">
        <w:rPr>
          <w:rFonts w:ascii="Century Gothic" w:eastAsia="Century Gothic" w:hAnsi="Century Gothic" w:cs="Century Gothic"/>
          <w:b/>
          <w:sz w:val="24"/>
          <w:szCs w:val="24"/>
        </w:rPr>
        <w:t>Hickerson</w:t>
      </w:r>
      <w:proofErr w:type="spellEnd"/>
      <w:r w:rsidRPr="009F7569">
        <w:rPr>
          <w:rFonts w:ascii="Century Gothic" w:eastAsia="Century Gothic" w:hAnsi="Century Gothic" w:cs="Century Gothic"/>
          <w:b/>
          <w:sz w:val="24"/>
          <w:szCs w:val="24"/>
        </w:rPr>
        <w:t xml:space="preserve">, Magdalena Rentería Pérez, María Antonieta Pérez Reyes, </w:t>
      </w:r>
      <w:r w:rsidR="00956801">
        <w:rPr>
          <w:rFonts w:ascii="Century Gothic" w:eastAsia="Century Gothic" w:hAnsi="Century Gothic" w:cs="Century Gothic"/>
          <w:b/>
          <w:sz w:val="24"/>
          <w:szCs w:val="24"/>
        </w:rPr>
        <w:t xml:space="preserve">Ilse </w:t>
      </w:r>
      <w:r w:rsidRPr="009F7569">
        <w:rPr>
          <w:rFonts w:ascii="Century Gothic" w:eastAsia="Century Gothic" w:hAnsi="Century Gothic" w:cs="Century Gothic"/>
          <w:b/>
          <w:sz w:val="24"/>
          <w:szCs w:val="24"/>
        </w:rPr>
        <w:t xml:space="preserve">América García Soto, Benjamín Carrera Chávez, David Óscar Castrejón Rivas y Leticia Ortega Máynez </w:t>
      </w:r>
      <w:r w:rsidRPr="009F7569">
        <w:rPr>
          <w:rFonts w:ascii="Century Gothic" w:eastAsia="Century Gothic" w:hAnsi="Century Gothic" w:cs="Century Gothic"/>
          <w:sz w:val="24"/>
          <w:szCs w:val="24"/>
        </w:rPr>
        <w:t xml:space="preserve">en nuestro carácter de Diputadas y Diputados de la Sexagésima Séptima Legislatura del Honorable Congreso del Estado de Chihuahua e integrantes del </w:t>
      </w:r>
      <w:r w:rsidRPr="009F7569">
        <w:rPr>
          <w:rFonts w:ascii="Century Gothic" w:eastAsia="Century Gothic" w:hAnsi="Century Gothic" w:cs="Century Gothic"/>
          <w:b/>
          <w:bCs/>
          <w:sz w:val="24"/>
          <w:szCs w:val="24"/>
        </w:rPr>
        <w:t>Grupo</w:t>
      </w:r>
      <w:r w:rsidRPr="009F7569">
        <w:rPr>
          <w:rFonts w:ascii="Century Gothic" w:eastAsia="Century Gothic" w:hAnsi="Century Gothic" w:cs="Century Gothic"/>
          <w:b/>
          <w:sz w:val="24"/>
          <w:szCs w:val="24"/>
        </w:rPr>
        <w:t xml:space="preserve"> Parlamentario de MORENA</w:t>
      </w:r>
      <w:r w:rsidRPr="009F7569">
        <w:rPr>
          <w:rFonts w:ascii="Century Gothic" w:eastAsia="Century Gothic" w:hAnsi="Century Gothic" w:cs="Century Gothic"/>
          <w:sz w:val="24"/>
          <w:szCs w:val="24"/>
        </w:rPr>
        <w:t>, con fundamento en lo dispuesto por</w:t>
      </w:r>
      <w:r w:rsidRPr="009F7569">
        <w:rPr>
          <w:rFonts w:ascii="Century Gothic" w:hAnsi="Century Gothic" w:cs="Arial"/>
          <w:sz w:val="24"/>
          <w:szCs w:val="24"/>
        </w:rPr>
        <w:t xml:space="preserve"> </w:t>
      </w:r>
      <w:r w:rsidR="009F7569" w:rsidRPr="009F7569">
        <w:rPr>
          <w:rFonts w:ascii="Century Gothic" w:eastAsia="Century Gothic" w:hAnsi="Century Gothic" w:cs="Century Gothic"/>
          <w:bCs/>
          <w:sz w:val="24"/>
          <w:szCs w:val="24"/>
        </w:rPr>
        <w:t>los artículos 167, fracción I, y 169, todos de la Ley Orgánica del Poder Legislativo del Estado de Chihuahua; artículo 2, fracción IX, del Reglamento Interior y de Prácticas Parlamentarias del Poder Legislativo</w:t>
      </w:r>
      <w:r w:rsidRPr="009F7569">
        <w:rPr>
          <w:rFonts w:ascii="Century Gothic" w:hAnsi="Century Gothic" w:cs="Arial"/>
          <w:sz w:val="24"/>
          <w:szCs w:val="24"/>
        </w:rPr>
        <w:t>, acud</w:t>
      </w:r>
      <w:r w:rsidR="009C3855" w:rsidRPr="009F7569">
        <w:rPr>
          <w:rFonts w:ascii="Century Gothic" w:hAnsi="Century Gothic" w:cs="Arial"/>
          <w:sz w:val="24"/>
          <w:szCs w:val="24"/>
        </w:rPr>
        <w:t>imos</w:t>
      </w:r>
      <w:r w:rsidRPr="009F7569">
        <w:rPr>
          <w:rFonts w:ascii="Century Gothic" w:hAnsi="Century Gothic" w:cs="Arial"/>
          <w:sz w:val="24"/>
          <w:szCs w:val="24"/>
        </w:rPr>
        <w:t xml:space="preserve"> ante esta Honorable Asamblea Legislativa con el objeto de someter a su consideración la siguiente </w:t>
      </w:r>
      <w:r w:rsidR="000C0F77" w:rsidRPr="009F7569">
        <w:rPr>
          <w:rFonts w:ascii="Century Gothic" w:hAnsi="Century Gothic" w:cs="Arial"/>
          <w:sz w:val="24"/>
          <w:szCs w:val="24"/>
        </w:rPr>
        <w:t>proposición</w:t>
      </w:r>
      <w:r w:rsidRPr="009F7569">
        <w:rPr>
          <w:rFonts w:ascii="Century Gothic" w:hAnsi="Century Gothic" w:cs="Arial"/>
          <w:b/>
          <w:sz w:val="24"/>
          <w:szCs w:val="24"/>
        </w:rPr>
        <w:t xml:space="preserve"> con carácter de punto de acuerdo</w:t>
      </w:r>
      <w:r w:rsidRPr="009F7569">
        <w:rPr>
          <w:rFonts w:ascii="Century Gothic" w:hAnsi="Century Gothic" w:cs="Arial"/>
          <w:sz w:val="24"/>
          <w:szCs w:val="24"/>
        </w:rPr>
        <w:t xml:space="preserve">, con objeto de </w:t>
      </w:r>
      <w:r w:rsidRPr="009F7569">
        <w:rPr>
          <w:rFonts w:ascii="Century Gothic" w:hAnsi="Century Gothic" w:cs="Arial"/>
          <w:b/>
          <w:sz w:val="24"/>
          <w:szCs w:val="24"/>
        </w:rPr>
        <w:t>exhortar a la</w:t>
      </w:r>
      <w:r w:rsidRPr="009F7569">
        <w:rPr>
          <w:rFonts w:ascii="Century Gothic" w:eastAsia="Century Gothic" w:hAnsi="Century Gothic" w:cs="Century Gothic"/>
          <w:sz w:val="24"/>
          <w:szCs w:val="24"/>
        </w:rPr>
        <w:t xml:space="preserve"> </w:t>
      </w:r>
      <w:r w:rsidRPr="009F7569">
        <w:rPr>
          <w:rFonts w:ascii="Century Gothic" w:eastAsia="Century Gothic" w:hAnsi="Century Gothic" w:cs="Century Gothic"/>
          <w:b/>
          <w:bCs/>
          <w:sz w:val="24"/>
          <w:szCs w:val="24"/>
        </w:rPr>
        <w:t xml:space="preserve">Comisión de Fiscalización del H. Congreso del Estado de Chihuahua </w:t>
      </w:r>
      <w:r w:rsidR="009C3855" w:rsidRPr="009F7569">
        <w:rPr>
          <w:rFonts w:ascii="Century Gothic" w:eastAsia="Century Gothic" w:hAnsi="Century Gothic" w:cs="Century Gothic"/>
          <w:b/>
          <w:bCs/>
          <w:sz w:val="24"/>
          <w:szCs w:val="24"/>
        </w:rPr>
        <w:t>a fin de</w:t>
      </w:r>
      <w:r w:rsidRPr="009F7569">
        <w:rPr>
          <w:rFonts w:ascii="Century Gothic" w:eastAsia="Century Gothic" w:hAnsi="Century Gothic" w:cs="Century Gothic"/>
          <w:b/>
          <w:bCs/>
          <w:sz w:val="24"/>
          <w:szCs w:val="24"/>
        </w:rPr>
        <w:t xml:space="preserve"> que </w:t>
      </w:r>
      <w:r w:rsidR="00C566BD" w:rsidRPr="009F7569">
        <w:rPr>
          <w:rFonts w:ascii="Century Gothic" w:eastAsia="Century Gothic" w:hAnsi="Century Gothic" w:cs="Century Gothic"/>
          <w:b/>
          <w:bCs/>
          <w:sz w:val="24"/>
          <w:szCs w:val="24"/>
        </w:rPr>
        <w:t>proponga</w:t>
      </w:r>
      <w:r w:rsidR="009C3855" w:rsidRPr="009F7569">
        <w:rPr>
          <w:rFonts w:ascii="Century Gothic" w:eastAsia="Century Gothic" w:hAnsi="Century Gothic" w:cs="Century Gothic"/>
          <w:b/>
          <w:bCs/>
          <w:sz w:val="24"/>
          <w:szCs w:val="24"/>
        </w:rPr>
        <w:t xml:space="preserve"> a la Auditoría Superior del Estado que </w:t>
      </w:r>
      <w:r w:rsidR="00C566BD" w:rsidRPr="009F7569">
        <w:rPr>
          <w:rFonts w:ascii="Century Gothic" w:eastAsia="Century Gothic" w:hAnsi="Century Gothic" w:cs="Century Gothic"/>
          <w:b/>
          <w:bCs/>
          <w:sz w:val="24"/>
          <w:szCs w:val="24"/>
        </w:rPr>
        <w:t xml:space="preserve">se </w:t>
      </w:r>
      <w:r w:rsidR="009C3855" w:rsidRPr="009F7569">
        <w:rPr>
          <w:rFonts w:ascii="Century Gothic" w:eastAsia="Century Gothic" w:hAnsi="Century Gothic" w:cs="Century Gothic"/>
          <w:b/>
          <w:bCs/>
          <w:sz w:val="24"/>
          <w:szCs w:val="24"/>
        </w:rPr>
        <w:t>incorpore</w:t>
      </w:r>
      <w:r w:rsidR="00E14EE3" w:rsidRPr="009F7569">
        <w:rPr>
          <w:rFonts w:ascii="Century Gothic" w:eastAsia="Century Gothic" w:hAnsi="Century Gothic" w:cs="Century Gothic"/>
          <w:b/>
          <w:bCs/>
          <w:sz w:val="24"/>
          <w:szCs w:val="24"/>
        </w:rPr>
        <w:t xml:space="preserve"> a la Secretaría de Seguridad Pública</w:t>
      </w:r>
      <w:r w:rsidR="009C3855" w:rsidRPr="009F7569">
        <w:rPr>
          <w:rFonts w:ascii="Century Gothic" w:eastAsia="Century Gothic" w:hAnsi="Century Gothic" w:cs="Century Gothic"/>
          <w:b/>
          <w:bCs/>
          <w:sz w:val="24"/>
          <w:szCs w:val="24"/>
        </w:rPr>
        <w:t xml:space="preserve"> dentro de su P</w:t>
      </w:r>
      <w:r w:rsidR="003C0B4A">
        <w:rPr>
          <w:rFonts w:ascii="Century Gothic" w:eastAsia="Century Gothic" w:hAnsi="Century Gothic" w:cs="Century Gothic"/>
          <w:b/>
          <w:bCs/>
          <w:sz w:val="24"/>
          <w:szCs w:val="24"/>
        </w:rPr>
        <w:t>rograma</w:t>
      </w:r>
      <w:r w:rsidR="009C3855" w:rsidRPr="009F7569">
        <w:rPr>
          <w:rFonts w:ascii="Century Gothic" w:eastAsia="Century Gothic" w:hAnsi="Century Gothic" w:cs="Century Gothic"/>
          <w:b/>
          <w:bCs/>
          <w:sz w:val="24"/>
          <w:szCs w:val="24"/>
        </w:rPr>
        <w:t xml:space="preserve"> Anual de Auditorías</w:t>
      </w:r>
      <w:r w:rsidR="00C566BD" w:rsidRPr="009F7569">
        <w:rPr>
          <w:rFonts w:ascii="Century Gothic" w:eastAsia="Century Gothic" w:hAnsi="Century Gothic" w:cs="Century Gothic"/>
          <w:b/>
          <w:bCs/>
          <w:sz w:val="24"/>
          <w:szCs w:val="24"/>
        </w:rPr>
        <w:t xml:space="preserve">, y se </w:t>
      </w:r>
      <w:r w:rsidR="009F7569">
        <w:rPr>
          <w:rFonts w:ascii="Century Gothic" w:eastAsia="Century Gothic" w:hAnsi="Century Gothic" w:cs="Century Gothic"/>
          <w:b/>
          <w:bCs/>
          <w:sz w:val="24"/>
          <w:szCs w:val="24"/>
        </w:rPr>
        <w:t xml:space="preserve">recomiende se </w:t>
      </w:r>
      <w:r w:rsidR="00C566BD" w:rsidRPr="009F7569">
        <w:rPr>
          <w:rFonts w:ascii="Century Gothic" w:eastAsia="Century Gothic" w:hAnsi="Century Gothic" w:cs="Century Gothic"/>
          <w:b/>
          <w:bCs/>
          <w:sz w:val="24"/>
          <w:szCs w:val="24"/>
        </w:rPr>
        <w:t xml:space="preserve">revisen </w:t>
      </w:r>
      <w:r w:rsidR="009C3855" w:rsidRPr="009F7569">
        <w:rPr>
          <w:rFonts w:ascii="Century Gothic" w:eastAsia="Century Gothic" w:hAnsi="Century Gothic" w:cs="Century Gothic"/>
          <w:b/>
          <w:bCs/>
          <w:sz w:val="24"/>
          <w:szCs w:val="24"/>
        </w:rPr>
        <w:t xml:space="preserve">los contratos celebrados </w:t>
      </w:r>
      <w:r w:rsidR="003F779D" w:rsidRPr="009F7569">
        <w:rPr>
          <w:rFonts w:ascii="Century Gothic" w:hAnsi="Century Gothic"/>
          <w:b/>
          <w:bCs/>
          <w:sz w:val="24"/>
          <w:szCs w:val="24"/>
        </w:rPr>
        <w:t xml:space="preserve">con la empresa </w:t>
      </w:r>
      <w:proofErr w:type="spellStart"/>
      <w:r w:rsidR="003F779D" w:rsidRPr="009F7569">
        <w:rPr>
          <w:rFonts w:ascii="Century Gothic" w:hAnsi="Century Gothic"/>
          <w:b/>
          <w:bCs/>
          <w:sz w:val="24"/>
          <w:szCs w:val="24"/>
        </w:rPr>
        <w:t>SeguriTech</w:t>
      </w:r>
      <w:proofErr w:type="spellEnd"/>
      <w:r w:rsidR="003F779D" w:rsidRPr="009F7569">
        <w:rPr>
          <w:rFonts w:ascii="Century Gothic" w:hAnsi="Century Gothic"/>
          <w:b/>
          <w:bCs/>
          <w:sz w:val="24"/>
          <w:szCs w:val="24"/>
        </w:rPr>
        <w:t xml:space="preserve"> Privada S.A. de C.V.</w:t>
      </w:r>
      <w:r w:rsidRPr="009F7569">
        <w:rPr>
          <w:rFonts w:ascii="Century Gothic" w:eastAsia="Century Gothic" w:hAnsi="Century Gothic" w:cs="Century Gothic"/>
          <w:b/>
          <w:bCs/>
          <w:sz w:val="24"/>
          <w:szCs w:val="24"/>
        </w:rPr>
        <w:t>,</w:t>
      </w:r>
      <w:r w:rsidRPr="009F7569">
        <w:rPr>
          <w:rFonts w:ascii="Century Gothic" w:eastAsia="Century Gothic" w:hAnsi="Century Gothic" w:cs="Century Gothic"/>
          <w:sz w:val="24"/>
          <w:szCs w:val="24"/>
        </w:rPr>
        <w:t xml:space="preserve"> con sustento en la siguiente:</w:t>
      </w:r>
    </w:p>
    <w:p w14:paraId="5A7B1D29" w14:textId="0134CEF9" w:rsidR="003A7B1D" w:rsidRPr="009F7569" w:rsidRDefault="009C3855" w:rsidP="003A7B1D">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E</w:t>
      </w:r>
      <w:r w:rsidR="00EC382C" w:rsidRPr="009F7569">
        <w:rPr>
          <w:rFonts w:ascii="Century Gothic" w:eastAsia="Century Gothic" w:hAnsi="Century Gothic" w:cs="Century Gothic"/>
          <w:b/>
          <w:sz w:val="24"/>
          <w:szCs w:val="24"/>
        </w:rPr>
        <w:t>XPOSICIÓN DE M</w:t>
      </w:r>
      <w:r w:rsidR="003A7B1D" w:rsidRPr="009F7569">
        <w:rPr>
          <w:rFonts w:ascii="Century Gothic" w:eastAsia="Century Gothic" w:hAnsi="Century Gothic" w:cs="Century Gothic"/>
          <w:b/>
          <w:sz w:val="24"/>
          <w:szCs w:val="24"/>
        </w:rPr>
        <w:t>OTIVOS</w:t>
      </w:r>
    </w:p>
    <w:p w14:paraId="41AA2D08" w14:textId="334DD4C2" w:rsidR="00383710" w:rsidRPr="009F7569" w:rsidRDefault="00FC1E6C" w:rsidP="003A7B1D">
      <w:pPr>
        <w:spacing w:after="120" w:line="360" w:lineRule="auto"/>
        <w:jc w:val="both"/>
        <w:rPr>
          <w:rFonts w:ascii="Century Gothic" w:hAnsi="Century Gothic" w:cs="Arial"/>
          <w:color w:val="3B3B3B"/>
          <w:sz w:val="24"/>
          <w:szCs w:val="24"/>
          <w:shd w:val="clear" w:color="auto" w:fill="FFFFFF"/>
        </w:rPr>
      </w:pPr>
      <w:r w:rsidRPr="009F7569">
        <w:rPr>
          <w:rFonts w:ascii="Century Gothic" w:eastAsia="Century Gothic" w:hAnsi="Century Gothic" w:cs="Century Gothic"/>
          <w:bCs/>
          <w:sz w:val="24"/>
          <w:szCs w:val="24"/>
        </w:rPr>
        <w:t xml:space="preserve">En </w:t>
      </w:r>
      <w:r w:rsidR="003A7B1D" w:rsidRPr="009F7569">
        <w:rPr>
          <w:rFonts w:ascii="Century Gothic" w:eastAsia="Century Gothic" w:hAnsi="Century Gothic" w:cs="Century Gothic"/>
          <w:bCs/>
          <w:sz w:val="24"/>
          <w:szCs w:val="24"/>
        </w:rPr>
        <w:t>el mes de abril del año pasado</w:t>
      </w:r>
      <w:r w:rsidR="004F2121" w:rsidRPr="009F7569">
        <w:rPr>
          <w:rFonts w:ascii="Century Gothic" w:eastAsia="Century Gothic" w:hAnsi="Century Gothic" w:cs="Century Gothic"/>
          <w:bCs/>
          <w:sz w:val="24"/>
          <w:szCs w:val="24"/>
        </w:rPr>
        <w:t>, en el marco de su gira de trabajo,</w:t>
      </w:r>
      <w:r w:rsidR="003A7B1D" w:rsidRPr="009F7569">
        <w:rPr>
          <w:rFonts w:ascii="Century Gothic" w:eastAsia="Century Gothic" w:hAnsi="Century Gothic" w:cs="Century Gothic"/>
          <w:bCs/>
          <w:sz w:val="24"/>
          <w:szCs w:val="24"/>
        </w:rPr>
        <w:t xml:space="preserve"> la Gobernadora del Estado </w:t>
      </w:r>
      <w:r w:rsidR="004F2121" w:rsidRPr="009F7569">
        <w:rPr>
          <w:rFonts w:ascii="Century Gothic" w:eastAsia="Century Gothic" w:hAnsi="Century Gothic" w:cs="Century Gothic"/>
          <w:bCs/>
          <w:sz w:val="24"/>
          <w:szCs w:val="24"/>
        </w:rPr>
        <w:t xml:space="preserve">presentó en Ciudad Juárez el proyecto de vigilancia </w:t>
      </w:r>
      <w:r w:rsidR="00383710" w:rsidRPr="009F7569">
        <w:rPr>
          <w:rFonts w:ascii="Century Gothic" w:eastAsia="Century Gothic" w:hAnsi="Century Gothic" w:cs="Century Gothic"/>
          <w:bCs/>
          <w:sz w:val="24"/>
          <w:szCs w:val="24"/>
        </w:rPr>
        <w:t xml:space="preserve">urbana </w:t>
      </w:r>
      <w:r w:rsidR="004F2121" w:rsidRPr="009F7569">
        <w:rPr>
          <w:rFonts w:ascii="Century Gothic" w:eastAsia="Century Gothic" w:hAnsi="Century Gothic" w:cs="Century Gothic"/>
          <w:bCs/>
          <w:sz w:val="24"/>
          <w:szCs w:val="24"/>
        </w:rPr>
        <w:t>denominado “Plataforma Centinela”, el cual consiste en</w:t>
      </w:r>
      <w:r w:rsidR="001B2406" w:rsidRPr="009F7569">
        <w:rPr>
          <w:rFonts w:ascii="Century Gothic" w:eastAsia="Century Gothic" w:hAnsi="Century Gothic" w:cs="Century Gothic"/>
          <w:bCs/>
          <w:sz w:val="24"/>
          <w:szCs w:val="24"/>
        </w:rPr>
        <w:t xml:space="preserve"> la construcción de</w:t>
      </w:r>
      <w:r w:rsidR="004F2121" w:rsidRPr="009F7569">
        <w:rPr>
          <w:rFonts w:ascii="Century Gothic" w:eastAsia="Century Gothic" w:hAnsi="Century Gothic" w:cs="Century Gothic"/>
          <w:bCs/>
          <w:sz w:val="24"/>
          <w:szCs w:val="24"/>
        </w:rPr>
        <w:t xml:space="preserve"> </w:t>
      </w:r>
      <w:r w:rsidR="001B2406" w:rsidRPr="009F7569">
        <w:rPr>
          <w:rFonts w:ascii="Century Gothic" w:eastAsia="Century Gothic" w:hAnsi="Century Gothic" w:cs="Century Gothic"/>
          <w:bCs/>
          <w:sz w:val="24"/>
          <w:szCs w:val="24"/>
        </w:rPr>
        <w:t>un edificio</w:t>
      </w:r>
      <w:r w:rsidR="00E136C9" w:rsidRPr="009F7569">
        <w:rPr>
          <w:rFonts w:ascii="Century Gothic" w:eastAsia="Century Gothic" w:hAnsi="Century Gothic" w:cs="Century Gothic"/>
          <w:bCs/>
          <w:sz w:val="24"/>
          <w:szCs w:val="24"/>
        </w:rPr>
        <w:t xml:space="preserve"> sustentable e inteligente</w:t>
      </w:r>
      <w:r w:rsidR="001B2406" w:rsidRPr="009F7569">
        <w:rPr>
          <w:rFonts w:ascii="Century Gothic" w:eastAsia="Century Gothic" w:hAnsi="Century Gothic" w:cs="Century Gothic"/>
          <w:bCs/>
          <w:sz w:val="24"/>
          <w:szCs w:val="24"/>
        </w:rPr>
        <w:t xml:space="preserve"> de 20 pisos </w:t>
      </w:r>
      <w:r w:rsidR="003F4A13" w:rsidRPr="009F7569">
        <w:rPr>
          <w:rFonts w:ascii="Century Gothic" w:eastAsia="Century Gothic" w:hAnsi="Century Gothic" w:cs="Century Gothic"/>
          <w:bCs/>
          <w:sz w:val="24"/>
          <w:szCs w:val="24"/>
        </w:rPr>
        <w:t xml:space="preserve">con </w:t>
      </w:r>
      <w:r w:rsidR="003F4A13" w:rsidRPr="009F7569">
        <w:rPr>
          <w:rFonts w:ascii="Century Gothic" w:eastAsia="Century Gothic" w:hAnsi="Century Gothic" w:cs="Century Gothic"/>
          <w:bCs/>
          <w:sz w:val="24"/>
          <w:szCs w:val="24"/>
        </w:rPr>
        <w:lastRenderedPageBreak/>
        <w:t xml:space="preserve">helipuerto </w:t>
      </w:r>
      <w:r w:rsidR="001B2406" w:rsidRPr="009F7569">
        <w:rPr>
          <w:rFonts w:ascii="Century Gothic" w:eastAsia="Century Gothic" w:hAnsi="Century Gothic" w:cs="Century Gothic"/>
          <w:bCs/>
          <w:sz w:val="24"/>
          <w:szCs w:val="24"/>
        </w:rPr>
        <w:t xml:space="preserve">donde se instalará el Centro de Seguridad Estatal, el cual albergará </w:t>
      </w:r>
      <w:r w:rsidR="001B2406" w:rsidRPr="009F7569">
        <w:rPr>
          <w:rFonts w:ascii="Century Gothic" w:hAnsi="Century Gothic" w:cs="Arial"/>
          <w:color w:val="3B3B3B"/>
          <w:sz w:val="24"/>
          <w:szCs w:val="24"/>
          <w:shd w:val="clear" w:color="auto" w:fill="FFFFFF"/>
        </w:rPr>
        <w:t xml:space="preserve">a todas las instancias de la Secretaría de Seguridad Pública, </w:t>
      </w:r>
      <w:r w:rsidR="00E136C9" w:rsidRPr="009F7569">
        <w:rPr>
          <w:rFonts w:ascii="Century Gothic" w:hAnsi="Century Gothic" w:cs="Arial"/>
          <w:color w:val="3B3B3B"/>
          <w:sz w:val="24"/>
          <w:szCs w:val="24"/>
          <w:shd w:val="clear" w:color="auto" w:fill="FFFFFF"/>
        </w:rPr>
        <w:t xml:space="preserve">contando con </w:t>
      </w:r>
      <w:r w:rsidR="003F4A13" w:rsidRPr="009F7569">
        <w:rPr>
          <w:rFonts w:ascii="Century Gothic" w:hAnsi="Century Gothic" w:cs="Arial"/>
          <w:color w:val="3B3B3B"/>
          <w:sz w:val="24"/>
          <w:szCs w:val="24"/>
          <w:shd w:val="clear" w:color="auto" w:fill="FFFFFF"/>
        </w:rPr>
        <w:t xml:space="preserve">su propio software y equipo tecnológico. </w:t>
      </w:r>
    </w:p>
    <w:p w14:paraId="7973A1DB" w14:textId="3EDF4E55" w:rsidR="00383710" w:rsidRPr="009F7569" w:rsidRDefault="006D67F4" w:rsidP="00383710">
      <w:pPr>
        <w:shd w:val="clear" w:color="auto" w:fill="FFFFFF"/>
        <w:spacing w:after="300" w:line="360" w:lineRule="auto"/>
        <w:jc w:val="both"/>
        <w:textAlignment w:val="baseline"/>
        <w:rPr>
          <w:rFonts w:ascii="Century Gothic" w:hAnsi="Century Gothic"/>
          <w:color w:val="222222"/>
          <w:sz w:val="24"/>
          <w:szCs w:val="24"/>
        </w:rPr>
      </w:pPr>
      <w:r w:rsidRPr="009F7569">
        <w:rPr>
          <w:rFonts w:ascii="Century Gothic" w:hAnsi="Century Gothic"/>
          <w:color w:val="222222"/>
          <w:sz w:val="24"/>
          <w:szCs w:val="24"/>
        </w:rPr>
        <w:t>E</w:t>
      </w:r>
      <w:r w:rsidR="00F23E10" w:rsidRPr="009F7569">
        <w:rPr>
          <w:rFonts w:ascii="Century Gothic" w:hAnsi="Century Gothic"/>
          <w:color w:val="222222"/>
          <w:sz w:val="24"/>
          <w:szCs w:val="24"/>
        </w:rPr>
        <w:t>l</w:t>
      </w:r>
      <w:r w:rsidR="00383710" w:rsidRPr="009F7569">
        <w:rPr>
          <w:rFonts w:ascii="Century Gothic" w:hAnsi="Century Gothic"/>
          <w:color w:val="222222"/>
          <w:sz w:val="24"/>
          <w:szCs w:val="24"/>
        </w:rPr>
        <w:t xml:space="preserve"> proyecto incluye:</w:t>
      </w:r>
    </w:p>
    <w:p w14:paraId="64153CED" w14:textId="77777777" w:rsidR="00383710" w:rsidRPr="009F7569" w:rsidRDefault="00383710"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instalación de 3 mil 602 cámaras de seguridad en el estado, mil 737 especializadas para lectura de placas e identificación de la marca, modelo y color de vehículos.</w:t>
      </w:r>
    </w:p>
    <w:p w14:paraId="1DCF3F5E" w14:textId="4FD56085"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 xml:space="preserve">La </w:t>
      </w:r>
      <w:r w:rsidR="00383710" w:rsidRPr="009F7569">
        <w:rPr>
          <w:rFonts w:ascii="Century Gothic" w:hAnsi="Century Gothic"/>
          <w:color w:val="222222"/>
          <w:sz w:val="24"/>
          <w:szCs w:val="24"/>
        </w:rPr>
        <w:t>Instalación de 102 arcos de identificación vehicular.</w:t>
      </w:r>
    </w:p>
    <w:p w14:paraId="32BEC8E0" w14:textId="77777777" w:rsidR="00383710" w:rsidRPr="009F7569" w:rsidRDefault="00383710"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construcción de 11 filtros “centinela” en la entidad, con sensores de captación biométrica para identificar los vehículos a la entrada y salida de esos municipios.</w:t>
      </w:r>
    </w:p>
    <w:p w14:paraId="5C2CF70A" w14:textId="15F91A7E"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v</w:t>
      </w:r>
      <w:r w:rsidR="00383710" w:rsidRPr="009F7569">
        <w:rPr>
          <w:rFonts w:ascii="Century Gothic" w:hAnsi="Century Gothic"/>
          <w:color w:val="222222"/>
          <w:sz w:val="24"/>
          <w:szCs w:val="24"/>
        </w:rPr>
        <w:t>igilancia aérea con drones.</w:t>
      </w:r>
    </w:p>
    <w:p w14:paraId="440E2747" w14:textId="5D9FE979"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a</w:t>
      </w:r>
      <w:r w:rsidR="00383710" w:rsidRPr="009F7569">
        <w:rPr>
          <w:rFonts w:ascii="Century Gothic" w:hAnsi="Century Gothic"/>
          <w:color w:val="222222"/>
          <w:sz w:val="24"/>
          <w:szCs w:val="24"/>
        </w:rPr>
        <w:t xml:space="preserve">dquisición de 15 equipos </w:t>
      </w:r>
      <w:proofErr w:type="spellStart"/>
      <w:r w:rsidR="00383710" w:rsidRPr="009F7569">
        <w:rPr>
          <w:rFonts w:ascii="Century Gothic" w:hAnsi="Century Gothic"/>
          <w:color w:val="222222"/>
          <w:sz w:val="24"/>
          <w:szCs w:val="24"/>
        </w:rPr>
        <w:t>antidrones</w:t>
      </w:r>
      <w:proofErr w:type="spellEnd"/>
      <w:r w:rsidR="00383710" w:rsidRPr="009F7569">
        <w:rPr>
          <w:rFonts w:ascii="Century Gothic" w:hAnsi="Century Gothic"/>
          <w:color w:val="222222"/>
          <w:sz w:val="24"/>
          <w:szCs w:val="24"/>
        </w:rPr>
        <w:t xml:space="preserve"> para neutralizar los drones operados por la delincuencia.</w:t>
      </w:r>
    </w:p>
    <w:p w14:paraId="6E05B72A" w14:textId="77777777" w:rsidR="00383710" w:rsidRPr="009F7569" w:rsidRDefault="00383710"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40 remolques de videovigilancia móvil.</w:t>
      </w:r>
    </w:p>
    <w:p w14:paraId="6C50C76F" w14:textId="42A9D844"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a</w:t>
      </w:r>
      <w:r w:rsidR="00383710" w:rsidRPr="009F7569">
        <w:rPr>
          <w:rFonts w:ascii="Century Gothic" w:hAnsi="Century Gothic"/>
          <w:color w:val="222222"/>
          <w:sz w:val="24"/>
          <w:szCs w:val="24"/>
        </w:rPr>
        <w:t>dquisición de 2 mil tabletas con conectividad para que los policías tengan acceso a una plataforma de datos estatal y al mismo tiempo el Estado p</w:t>
      </w:r>
      <w:r w:rsidRPr="009F7569">
        <w:rPr>
          <w:rFonts w:ascii="Century Gothic" w:hAnsi="Century Gothic"/>
          <w:color w:val="222222"/>
          <w:sz w:val="24"/>
          <w:szCs w:val="24"/>
        </w:rPr>
        <w:t>ueda</w:t>
      </w:r>
      <w:r w:rsidR="00383710" w:rsidRPr="009F7569">
        <w:rPr>
          <w:rFonts w:ascii="Century Gothic" w:hAnsi="Century Gothic"/>
          <w:color w:val="222222"/>
          <w:sz w:val="24"/>
          <w:szCs w:val="24"/>
        </w:rPr>
        <w:t xml:space="preserve"> rastrear la ubicación de cada elemento en tiempo real.</w:t>
      </w:r>
    </w:p>
    <w:p w14:paraId="71FFCCDB" w14:textId="3249F53C"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h</w:t>
      </w:r>
      <w:r w:rsidR="00383710" w:rsidRPr="009F7569">
        <w:rPr>
          <w:rFonts w:ascii="Century Gothic" w:hAnsi="Century Gothic"/>
          <w:color w:val="222222"/>
          <w:sz w:val="24"/>
          <w:szCs w:val="24"/>
        </w:rPr>
        <w:t>abilita</w:t>
      </w:r>
      <w:r w:rsidRPr="009F7569">
        <w:rPr>
          <w:rFonts w:ascii="Century Gothic" w:hAnsi="Century Gothic"/>
          <w:color w:val="222222"/>
          <w:sz w:val="24"/>
          <w:szCs w:val="24"/>
        </w:rPr>
        <w:t>ción de</w:t>
      </w:r>
      <w:r w:rsidR="00383710" w:rsidRPr="009F7569">
        <w:rPr>
          <w:rFonts w:ascii="Century Gothic" w:hAnsi="Century Gothic"/>
          <w:color w:val="222222"/>
          <w:sz w:val="24"/>
          <w:szCs w:val="24"/>
        </w:rPr>
        <w:t xml:space="preserve"> subcentros de vigilancia en Delicias, Camargo, Ojinaga, Jiménez, Parral, Guachochi, Bocoyna, Madera, Nuevo Casas Grande, Cuauhtémoc y Chihuahua.</w:t>
      </w:r>
    </w:p>
    <w:p w14:paraId="7D62DE2C" w14:textId="3B4B7E21" w:rsidR="00383710" w:rsidRPr="009F7569" w:rsidRDefault="006D67F4" w:rsidP="00383710">
      <w:pPr>
        <w:numPr>
          <w:ilvl w:val="0"/>
          <w:numId w:val="2"/>
        </w:numPr>
        <w:shd w:val="clear" w:color="auto" w:fill="FFFFFF"/>
        <w:spacing w:line="360" w:lineRule="auto"/>
        <w:ind w:left="1470"/>
        <w:jc w:val="both"/>
        <w:textAlignment w:val="baseline"/>
        <w:rPr>
          <w:rFonts w:ascii="Century Gothic" w:hAnsi="Century Gothic"/>
          <w:color w:val="222222"/>
          <w:sz w:val="24"/>
          <w:szCs w:val="24"/>
        </w:rPr>
      </w:pPr>
      <w:r w:rsidRPr="009F7569">
        <w:rPr>
          <w:rFonts w:ascii="Century Gothic" w:hAnsi="Century Gothic"/>
          <w:color w:val="222222"/>
          <w:sz w:val="24"/>
          <w:szCs w:val="24"/>
        </w:rPr>
        <w:t>La m</w:t>
      </w:r>
      <w:r w:rsidR="00383710" w:rsidRPr="009F7569">
        <w:rPr>
          <w:rFonts w:ascii="Century Gothic" w:hAnsi="Century Gothic"/>
          <w:color w:val="222222"/>
          <w:sz w:val="24"/>
          <w:szCs w:val="24"/>
        </w:rPr>
        <w:t>odernización de 13 centros de comando inteligencias regionales.</w:t>
      </w:r>
    </w:p>
    <w:p w14:paraId="5A3288AF" w14:textId="5FB29377" w:rsidR="006D67F4" w:rsidRPr="009F7569" w:rsidRDefault="006D67F4" w:rsidP="006D67F4">
      <w:pPr>
        <w:shd w:val="clear" w:color="auto" w:fill="FFFFFF"/>
        <w:spacing w:line="360" w:lineRule="auto"/>
        <w:jc w:val="both"/>
        <w:textAlignment w:val="baseline"/>
        <w:rPr>
          <w:rFonts w:ascii="Century Gothic" w:hAnsi="Century Gothic"/>
          <w:color w:val="222222"/>
          <w:sz w:val="24"/>
          <w:szCs w:val="24"/>
        </w:rPr>
      </w:pPr>
    </w:p>
    <w:p w14:paraId="6C5408AA" w14:textId="0B957DC4" w:rsidR="00383710" w:rsidRPr="009F7569" w:rsidRDefault="006D67F4" w:rsidP="00025B06">
      <w:pPr>
        <w:shd w:val="clear" w:color="auto" w:fill="FFFFFF"/>
        <w:spacing w:line="360" w:lineRule="auto"/>
        <w:jc w:val="both"/>
        <w:textAlignment w:val="baseline"/>
        <w:rPr>
          <w:rFonts w:ascii="Roboto" w:hAnsi="Roboto"/>
          <w:color w:val="3D3E3F"/>
          <w:sz w:val="24"/>
          <w:szCs w:val="24"/>
          <w:shd w:val="clear" w:color="auto" w:fill="FFFFFF"/>
        </w:rPr>
      </w:pPr>
      <w:r w:rsidRPr="009F7569">
        <w:rPr>
          <w:rFonts w:ascii="Century Gothic" w:hAnsi="Century Gothic"/>
          <w:color w:val="222222"/>
          <w:sz w:val="24"/>
          <w:szCs w:val="24"/>
        </w:rPr>
        <w:lastRenderedPageBreak/>
        <w:t xml:space="preserve">Del edificio de 20 pisos, 4 se utilizarán para centros de mando operativo, </w:t>
      </w:r>
      <w:r w:rsidR="00025B06" w:rsidRPr="009F7569">
        <w:rPr>
          <w:rFonts w:ascii="Century Gothic" w:hAnsi="Century Gothic"/>
          <w:color w:val="222222"/>
          <w:sz w:val="24"/>
          <w:szCs w:val="24"/>
        </w:rPr>
        <w:t xml:space="preserve">los cuales </w:t>
      </w:r>
      <w:r w:rsidR="00025B06" w:rsidRPr="009F7569">
        <w:rPr>
          <w:rFonts w:ascii="Century Gothic" w:hAnsi="Century Gothic" w:cs="Arial"/>
          <w:color w:val="3B3B3B"/>
          <w:sz w:val="24"/>
          <w:szCs w:val="24"/>
          <w:shd w:val="clear" w:color="auto" w:fill="FFFFFF"/>
        </w:rPr>
        <w:t>tendrán un Video Wall de 360 grados, desde donde se supervisarán las operaciones de los Subcentros instalados en municipios estratégicamente elegidos</w:t>
      </w:r>
      <w:r w:rsidR="00025B06" w:rsidRPr="009F7569">
        <w:rPr>
          <w:rFonts w:ascii="Arial" w:hAnsi="Arial" w:cs="Arial"/>
          <w:color w:val="3B3B3B"/>
          <w:sz w:val="24"/>
          <w:szCs w:val="24"/>
          <w:shd w:val="clear" w:color="auto" w:fill="FFFFFF"/>
        </w:rPr>
        <w:t xml:space="preserve">.  </w:t>
      </w:r>
      <w:r w:rsidR="00383710" w:rsidRPr="009F7569">
        <w:rPr>
          <w:rFonts w:ascii="Century Gothic" w:hAnsi="Century Gothic"/>
          <w:color w:val="222222"/>
          <w:sz w:val="24"/>
          <w:szCs w:val="24"/>
        </w:rPr>
        <w:t xml:space="preserve">La gobernadora dio a conocer que la inversión total </w:t>
      </w:r>
      <w:r w:rsidR="00025B06" w:rsidRPr="009F7569">
        <w:rPr>
          <w:rFonts w:ascii="Century Gothic" w:hAnsi="Century Gothic"/>
          <w:color w:val="222222"/>
          <w:sz w:val="24"/>
          <w:szCs w:val="24"/>
        </w:rPr>
        <w:t xml:space="preserve">para este proyecto </w:t>
      </w:r>
      <w:r w:rsidR="00383710" w:rsidRPr="009F7569">
        <w:rPr>
          <w:rFonts w:ascii="Century Gothic" w:hAnsi="Century Gothic"/>
          <w:color w:val="222222"/>
          <w:sz w:val="24"/>
          <w:szCs w:val="24"/>
        </w:rPr>
        <w:t>será de 200 millones de dólares</w:t>
      </w:r>
      <w:r w:rsidR="002B2E35" w:rsidRPr="009F7569">
        <w:rPr>
          <w:rFonts w:ascii="Roboto" w:hAnsi="Roboto"/>
          <w:color w:val="3D3E3F"/>
          <w:sz w:val="24"/>
          <w:szCs w:val="24"/>
          <w:shd w:val="clear" w:color="auto" w:fill="FFFFFF"/>
        </w:rPr>
        <w:t>.</w:t>
      </w:r>
    </w:p>
    <w:p w14:paraId="0106783D" w14:textId="703F59D4" w:rsidR="00F12AA6" w:rsidRPr="009F7569" w:rsidRDefault="00F12AA6" w:rsidP="00025B06">
      <w:pPr>
        <w:shd w:val="clear" w:color="auto" w:fill="FFFFFF"/>
        <w:spacing w:line="360" w:lineRule="auto"/>
        <w:jc w:val="both"/>
        <w:textAlignment w:val="baseline"/>
        <w:rPr>
          <w:rFonts w:ascii="Roboto" w:hAnsi="Roboto"/>
          <w:color w:val="3D3E3F"/>
          <w:sz w:val="24"/>
          <w:szCs w:val="24"/>
          <w:shd w:val="clear" w:color="auto" w:fill="FFFFFF"/>
        </w:rPr>
      </w:pPr>
    </w:p>
    <w:p w14:paraId="67AA5B70" w14:textId="77777777" w:rsidR="003F779D" w:rsidRPr="009F7569" w:rsidRDefault="00F12AA6" w:rsidP="00025B06">
      <w:pPr>
        <w:shd w:val="clear" w:color="auto" w:fill="FFFFFF"/>
        <w:spacing w:line="360" w:lineRule="auto"/>
        <w:jc w:val="both"/>
        <w:textAlignment w:val="baseline"/>
        <w:rPr>
          <w:rFonts w:ascii="Century Gothic" w:hAnsi="Century Gothic"/>
          <w:color w:val="333333"/>
          <w:sz w:val="24"/>
          <w:szCs w:val="24"/>
          <w:shd w:val="clear" w:color="auto" w:fill="FFFFFF"/>
        </w:rPr>
      </w:pPr>
      <w:r w:rsidRPr="009F7569">
        <w:rPr>
          <w:rFonts w:ascii="Century Gothic" w:hAnsi="Century Gothic"/>
          <w:color w:val="3D3E3F"/>
          <w:sz w:val="24"/>
          <w:szCs w:val="24"/>
          <w:shd w:val="clear" w:color="auto" w:fill="FFFFFF"/>
        </w:rPr>
        <w:t xml:space="preserve">Anterior a dicho anuncio, el 25 de marzo del </w:t>
      </w:r>
      <w:r w:rsidR="00BC6406" w:rsidRPr="009F7569">
        <w:rPr>
          <w:rFonts w:ascii="Century Gothic" w:hAnsi="Century Gothic"/>
          <w:color w:val="3D3E3F"/>
          <w:sz w:val="24"/>
          <w:szCs w:val="24"/>
          <w:shd w:val="clear" w:color="auto" w:fill="FFFFFF"/>
        </w:rPr>
        <w:t xml:space="preserve">2022, </w:t>
      </w:r>
      <w:r w:rsidR="00BC6406" w:rsidRPr="009F7569">
        <w:rPr>
          <w:rFonts w:ascii="Century Gothic" w:hAnsi="Century Gothic"/>
          <w:color w:val="333333"/>
          <w:sz w:val="24"/>
          <w:szCs w:val="24"/>
          <w:shd w:val="clear" w:color="auto" w:fill="FFFFFF"/>
        </w:rPr>
        <w:t>el</w:t>
      </w:r>
      <w:r w:rsidRPr="009F7569">
        <w:rPr>
          <w:rFonts w:ascii="Century Gothic" w:hAnsi="Century Gothic"/>
          <w:color w:val="333333"/>
          <w:sz w:val="24"/>
          <w:szCs w:val="24"/>
          <w:shd w:val="clear" w:color="auto" w:fill="FFFFFF"/>
        </w:rPr>
        <w:t xml:space="preserve"> Comité de Transparencia de la Secretaría de Seguridad Pública del Estado </w:t>
      </w:r>
      <w:hyperlink r:id="rId8" w:tgtFrame="_blank" w:history="1">
        <w:r w:rsidRPr="009F7569">
          <w:rPr>
            <w:rStyle w:val="Hipervnculo"/>
            <w:rFonts w:ascii="Century Gothic" w:hAnsi="Century Gothic"/>
            <w:color w:val="auto"/>
            <w:sz w:val="24"/>
            <w:szCs w:val="24"/>
            <w:u w:val="none"/>
            <w:bdr w:val="none" w:sz="0" w:space="0" w:color="auto" w:frame="1"/>
            <w:shd w:val="clear" w:color="auto" w:fill="FFFFFF"/>
          </w:rPr>
          <w:t xml:space="preserve">clasificó </w:t>
        </w:r>
        <w:r w:rsidR="00BC6406" w:rsidRPr="009F7569">
          <w:rPr>
            <w:rStyle w:val="Hipervnculo"/>
            <w:rFonts w:ascii="Century Gothic" w:hAnsi="Century Gothic"/>
            <w:color w:val="auto"/>
            <w:sz w:val="24"/>
            <w:szCs w:val="24"/>
            <w:u w:val="none"/>
            <w:bdr w:val="none" w:sz="0" w:space="0" w:color="auto" w:frame="1"/>
            <w:shd w:val="clear" w:color="auto" w:fill="FFFFFF"/>
          </w:rPr>
          <w:t>como reservada</w:t>
        </w:r>
      </w:hyperlink>
      <w:r w:rsidRPr="009F7569">
        <w:rPr>
          <w:rFonts w:ascii="Century Gothic" w:hAnsi="Century Gothic"/>
          <w:color w:val="333333"/>
          <w:sz w:val="24"/>
          <w:szCs w:val="24"/>
          <w:shd w:val="clear" w:color="auto" w:fill="FFFFFF"/>
        </w:rPr>
        <w:t> la información “referente a los procedimientos de adquisición de los insumos, bienes y tecnología necesarios para el desarrollo, implementación y funcionamiento de la Plataforma Centinela”</w:t>
      </w:r>
      <w:r w:rsidR="00BC6406" w:rsidRPr="009F7569">
        <w:rPr>
          <w:rFonts w:ascii="Century Gothic" w:hAnsi="Century Gothic"/>
          <w:color w:val="333333"/>
          <w:sz w:val="24"/>
          <w:szCs w:val="24"/>
          <w:shd w:val="clear" w:color="auto" w:fill="FFFFFF"/>
        </w:rPr>
        <w:t>, por un p</w:t>
      </w:r>
      <w:r w:rsidR="00E22C9C" w:rsidRPr="009F7569">
        <w:rPr>
          <w:rFonts w:ascii="Century Gothic" w:hAnsi="Century Gothic"/>
          <w:color w:val="333333"/>
          <w:sz w:val="24"/>
          <w:szCs w:val="24"/>
          <w:shd w:val="clear" w:color="auto" w:fill="FFFFFF"/>
        </w:rPr>
        <w:t>lazo</w:t>
      </w:r>
      <w:r w:rsidR="00BC6406" w:rsidRPr="009F7569">
        <w:rPr>
          <w:rFonts w:ascii="Century Gothic" w:hAnsi="Century Gothic"/>
          <w:color w:val="333333"/>
          <w:sz w:val="24"/>
          <w:szCs w:val="24"/>
          <w:shd w:val="clear" w:color="auto" w:fill="FFFFFF"/>
        </w:rPr>
        <w:t xml:space="preserve"> </w:t>
      </w:r>
      <w:r w:rsidR="00E22C9C" w:rsidRPr="009F7569">
        <w:rPr>
          <w:rFonts w:ascii="Century Gothic" w:hAnsi="Century Gothic"/>
          <w:color w:val="333333"/>
          <w:sz w:val="24"/>
          <w:szCs w:val="24"/>
          <w:shd w:val="clear" w:color="auto" w:fill="FFFFFF"/>
        </w:rPr>
        <w:t xml:space="preserve">máximo </w:t>
      </w:r>
      <w:r w:rsidR="00BC6406" w:rsidRPr="009F7569">
        <w:rPr>
          <w:rFonts w:ascii="Century Gothic" w:hAnsi="Century Gothic"/>
          <w:color w:val="333333"/>
          <w:sz w:val="24"/>
          <w:szCs w:val="24"/>
          <w:shd w:val="clear" w:color="auto" w:fill="FFFFFF"/>
        </w:rPr>
        <w:t>de cinco años</w:t>
      </w:r>
      <w:r w:rsidR="00E22C9C" w:rsidRPr="009F7569">
        <w:rPr>
          <w:rFonts w:ascii="Century Gothic" w:hAnsi="Century Gothic"/>
          <w:color w:val="333333"/>
          <w:sz w:val="24"/>
          <w:szCs w:val="24"/>
          <w:shd w:val="clear" w:color="auto" w:fill="FFFFFF"/>
        </w:rPr>
        <w:t xml:space="preserve">, con la justificación de </w:t>
      </w:r>
      <w:r w:rsidR="00B96C05" w:rsidRPr="009F7569">
        <w:rPr>
          <w:rFonts w:ascii="Century Gothic" w:hAnsi="Century Gothic"/>
          <w:color w:val="333333"/>
          <w:sz w:val="24"/>
          <w:szCs w:val="24"/>
          <w:shd w:val="clear" w:color="auto" w:fill="FFFFFF"/>
        </w:rPr>
        <w:t xml:space="preserve">que compromete la seguridad pública y puede poner en riesgo la vida, seguridad o salud de una persona física. </w:t>
      </w:r>
      <w:r w:rsidR="00547AC5" w:rsidRPr="009F7569">
        <w:rPr>
          <w:rFonts w:ascii="Century Gothic" w:hAnsi="Century Gothic"/>
          <w:color w:val="333333"/>
          <w:sz w:val="24"/>
          <w:szCs w:val="24"/>
          <w:shd w:val="clear" w:color="auto" w:fill="FFFFFF"/>
        </w:rPr>
        <w:t>Asimismo,</w:t>
      </w:r>
      <w:r w:rsidR="00B96C05" w:rsidRPr="009F7569">
        <w:rPr>
          <w:rFonts w:ascii="Century Gothic" w:hAnsi="Century Gothic"/>
          <w:color w:val="333333"/>
          <w:sz w:val="24"/>
          <w:szCs w:val="24"/>
          <w:shd w:val="clear" w:color="auto" w:fill="FFFFFF"/>
        </w:rPr>
        <w:t xml:space="preserve"> </w:t>
      </w:r>
      <w:r w:rsidR="006315A7" w:rsidRPr="009F7569">
        <w:rPr>
          <w:rFonts w:ascii="Century Gothic" w:hAnsi="Century Gothic"/>
          <w:color w:val="333333"/>
          <w:sz w:val="24"/>
          <w:szCs w:val="24"/>
          <w:shd w:val="clear" w:color="auto" w:fill="FFFFFF"/>
        </w:rPr>
        <w:t xml:space="preserve">se hace referencia en el acuerdo </w:t>
      </w:r>
      <w:r w:rsidR="003F779D" w:rsidRPr="009F7569">
        <w:rPr>
          <w:rFonts w:ascii="Century Gothic" w:hAnsi="Century Gothic"/>
          <w:color w:val="333333"/>
          <w:sz w:val="24"/>
          <w:szCs w:val="24"/>
          <w:shd w:val="clear" w:color="auto" w:fill="FFFFFF"/>
        </w:rPr>
        <w:t>a</w:t>
      </w:r>
      <w:r w:rsidR="006315A7" w:rsidRPr="009F7569">
        <w:rPr>
          <w:rFonts w:ascii="Century Gothic" w:hAnsi="Century Gothic"/>
          <w:color w:val="333333"/>
          <w:sz w:val="24"/>
          <w:szCs w:val="24"/>
          <w:shd w:val="clear" w:color="auto" w:fill="FFFFFF"/>
        </w:rPr>
        <w:t xml:space="preserve">l artículo 113, fracción I de la Ley General, mencionando que podrá considerarse como información reservada aquella que comprometa la seguridad pública, al poner en peligro las funciones a cargo de la federación, la Ciudad de México, los Estados y los Municipios, tendientes a preservar y resguardar la vida, la salud, la integridad y el ejercicio de los derechos de las personas, así como para el mantenimiento del orden público. </w:t>
      </w:r>
    </w:p>
    <w:p w14:paraId="6E146958" w14:textId="77777777" w:rsidR="003F779D" w:rsidRPr="009F7569" w:rsidRDefault="003F779D" w:rsidP="00025B06">
      <w:pPr>
        <w:shd w:val="clear" w:color="auto" w:fill="FFFFFF"/>
        <w:spacing w:line="360" w:lineRule="auto"/>
        <w:jc w:val="both"/>
        <w:textAlignment w:val="baseline"/>
        <w:rPr>
          <w:rFonts w:ascii="Century Gothic" w:hAnsi="Century Gothic"/>
          <w:color w:val="333333"/>
          <w:sz w:val="24"/>
          <w:szCs w:val="24"/>
          <w:shd w:val="clear" w:color="auto" w:fill="FFFFFF"/>
        </w:rPr>
      </w:pPr>
    </w:p>
    <w:p w14:paraId="5D892640" w14:textId="0D82CD8E" w:rsidR="006315A7" w:rsidRPr="009F7569" w:rsidRDefault="006315A7" w:rsidP="00025B06">
      <w:pPr>
        <w:shd w:val="clear" w:color="auto" w:fill="FFFFFF"/>
        <w:spacing w:line="360" w:lineRule="auto"/>
        <w:jc w:val="both"/>
        <w:textAlignment w:val="baseline"/>
        <w:rPr>
          <w:rFonts w:ascii="Century Gothic" w:hAnsi="Century Gothic"/>
          <w:color w:val="333333"/>
          <w:sz w:val="24"/>
          <w:szCs w:val="24"/>
          <w:shd w:val="clear" w:color="auto" w:fill="FFFFFF"/>
        </w:rPr>
      </w:pPr>
      <w:r w:rsidRPr="009F7569">
        <w:rPr>
          <w:rFonts w:ascii="Century Gothic" w:hAnsi="Century Gothic"/>
          <w:color w:val="333333"/>
          <w:sz w:val="24"/>
          <w:szCs w:val="24"/>
          <w:shd w:val="clear" w:color="auto" w:fill="FFFFFF"/>
        </w:rPr>
        <w:t xml:space="preserve">Se pone en peligro el orden público cuando la difusión de la información pueda entorpecer los sistemas de coordinación interinstitucional en materia de seguridad pública, menoscabar o dificultar las estrategias contra la evasión de reos; menoscabar </w:t>
      </w:r>
      <w:r w:rsidR="003578AC" w:rsidRPr="009F7569">
        <w:rPr>
          <w:rFonts w:ascii="Century Gothic" w:hAnsi="Century Gothic"/>
          <w:color w:val="333333"/>
          <w:sz w:val="24"/>
          <w:szCs w:val="24"/>
          <w:shd w:val="clear" w:color="auto" w:fill="FFFFFF"/>
        </w:rPr>
        <w:t xml:space="preserve">o limitar la capacidad de las autoridades encaminadas a disuadir o prevenir disturbios sociales. Asimismo, podrá considerarse como reservada aquella que revele datos que pudieran ser </w:t>
      </w:r>
      <w:r w:rsidR="003578AC" w:rsidRPr="009F7569">
        <w:rPr>
          <w:rFonts w:ascii="Century Gothic" w:hAnsi="Century Gothic"/>
          <w:color w:val="333333"/>
          <w:sz w:val="24"/>
          <w:szCs w:val="24"/>
          <w:shd w:val="clear" w:color="auto" w:fill="FFFFFF"/>
        </w:rPr>
        <w:lastRenderedPageBreak/>
        <w:t xml:space="preserve">aprovechados para conocer la capacidad de reacción de las instituciones encargadas de la seguridad pública, sus planes, estrategias, tecnologías, información, sistemas de comunicaciones. </w:t>
      </w:r>
    </w:p>
    <w:p w14:paraId="3C5D29E9" w14:textId="5D1DACB4" w:rsidR="003578AC" w:rsidRPr="009F7569" w:rsidRDefault="003578AC" w:rsidP="00025B06">
      <w:pPr>
        <w:shd w:val="clear" w:color="auto" w:fill="FFFFFF"/>
        <w:spacing w:line="360" w:lineRule="auto"/>
        <w:jc w:val="both"/>
        <w:textAlignment w:val="baseline"/>
        <w:rPr>
          <w:rFonts w:ascii="Century Gothic" w:hAnsi="Century Gothic"/>
          <w:color w:val="333333"/>
          <w:sz w:val="24"/>
          <w:szCs w:val="24"/>
          <w:shd w:val="clear" w:color="auto" w:fill="FFFFFF"/>
        </w:rPr>
      </w:pPr>
    </w:p>
    <w:p w14:paraId="2C2E5726" w14:textId="77777777" w:rsidR="003F779D" w:rsidRPr="009F7569" w:rsidRDefault="008300F8" w:rsidP="008300F8">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 xml:space="preserve">En julio del mismo año, Oscar Ibáñez, funcionario representante del Gobierno Estatal en Ciudad Juárez, dio a conocer que el proyecto se adjudicó de manera directa a la empresa </w:t>
      </w:r>
      <w:proofErr w:type="spellStart"/>
      <w:r w:rsidRPr="009F7569">
        <w:rPr>
          <w:rFonts w:ascii="Century Gothic" w:hAnsi="Century Gothic" w:cs="Arial"/>
          <w:color w:val="3B3B3B"/>
          <w:sz w:val="24"/>
          <w:szCs w:val="24"/>
          <w:shd w:val="clear" w:color="auto" w:fill="FFFFFF"/>
        </w:rPr>
        <w:t>SeguriTech</w:t>
      </w:r>
      <w:proofErr w:type="spellEnd"/>
      <w:r w:rsidR="00A11D72" w:rsidRPr="009F7569">
        <w:rPr>
          <w:rFonts w:ascii="Century Gothic" w:hAnsi="Century Gothic" w:cs="Arial"/>
          <w:color w:val="3B3B3B"/>
          <w:sz w:val="24"/>
          <w:szCs w:val="24"/>
          <w:shd w:val="clear" w:color="auto" w:fill="FFFFFF"/>
        </w:rPr>
        <w:t xml:space="preserve"> Privada S.A. de C.V.</w:t>
      </w:r>
      <w:r w:rsidRPr="009F7569">
        <w:rPr>
          <w:rFonts w:ascii="Century Gothic" w:hAnsi="Century Gothic" w:cs="Arial"/>
          <w:color w:val="3B3B3B"/>
          <w:sz w:val="24"/>
          <w:szCs w:val="24"/>
          <w:shd w:val="clear" w:color="auto" w:fill="FFFFFF"/>
        </w:rPr>
        <w:t>, noticia que llamó la atención e incluso alarmó a las y los chihuahuenses por los malos antecedentes que tiene en varios estados del país</w:t>
      </w:r>
      <w:r w:rsidR="00547AC5" w:rsidRPr="009F7569">
        <w:rPr>
          <w:rFonts w:ascii="Century Gothic" w:hAnsi="Century Gothic" w:cs="Arial"/>
          <w:color w:val="3B3B3B"/>
          <w:sz w:val="24"/>
          <w:szCs w:val="24"/>
          <w:shd w:val="clear" w:color="auto" w:fill="FFFFFF"/>
        </w:rPr>
        <w:t>,</w:t>
      </w:r>
      <w:r w:rsidRPr="009F7569">
        <w:rPr>
          <w:rFonts w:ascii="Century Gothic" w:hAnsi="Century Gothic" w:cs="Arial"/>
          <w:color w:val="3B3B3B"/>
          <w:sz w:val="24"/>
          <w:szCs w:val="24"/>
          <w:shd w:val="clear" w:color="auto" w:fill="FFFFFF"/>
        </w:rPr>
        <w:t xml:space="preserve"> por ausencia de transparencia, precios inflados, deficiencias en el equipo, carece</w:t>
      </w:r>
      <w:r w:rsidR="008F7897" w:rsidRPr="009F7569">
        <w:rPr>
          <w:rFonts w:ascii="Century Gothic" w:hAnsi="Century Gothic" w:cs="Arial"/>
          <w:color w:val="3B3B3B"/>
          <w:sz w:val="24"/>
          <w:szCs w:val="24"/>
          <w:shd w:val="clear" w:color="auto" w:fill="FFFFFF"/>
        </w:rPr>
        <w:t>r</w:t>
      </w:r>
      <w:r w:rsidRPr="009F7569">
        <w:rPr>
          <w:rFonts w:ascii="Century Gothic" w:hAnsi="Century Gothic" w:cs="Arial"/>
          <w:color w:val="3B3B3B"/>
          <w:sz w:val="24"/>
          <w:szCs w:val="24"/>
          <w:shd w:val="clear" w:color="auto" w:fill="FFFFFF"/>
        </w:rPr>
        <w:t xml:space="preserve"> de información básica, falla en las fechas de entrega, carencia de mantenimiento, </w:t>
      </w:r>
      <w:r w:rsidR="008F7897" w:rsidRPr="009F7569">
        <w:rPr>
          <w:rFonts w:ascii="Century Gothic" w:hAnsi="Century Gothic" w:cs="Arial"/>
          <w:color w:val="3B3B3B"/>
          <w:sz w:val="24"/>
          <w:szCs w:val="24"/>
          <w:shd w:val="clear" w:color="auto" w:fill="FFFFFF"/>
        </w:rPr>
        <w:t>entre otr</w:t>
      </w:r>
      <w:r w:rsidR="00B431FD" w:rsidRPr="009F7569">
        <w:rPr>
          <w:rFonts w:ascii="Century Gothic" w:hAnsi="Century Gothic" w:cs="Arial"/>
          <w:color w:val="3B3B3B"/>
          <w:sz w:val="24"/>
          <w:szCs w:val="24"/>
          <w:shd w:val="clear" w:color="auto" w:fill="FFFFFF"/>
        </w:rPr>
        <w:t>a</w:t>
      </w:r>
      <w:r w:rsidR="008F7897" w:rsidRPr="009F7569">
        <w:rPr>
          <w:rFonts w:ascii="Century Gothic" w:hAnsi="Century Gothic" w:cs="Arial"/>
          <w:color w:val="3B3B3B"/>
          <w:sz w:val="24"/>
          <w:szCs w:val="24"/>
          <w:shd w:val="clear" w:color="auto" w:fill="FFFFFF"/>
        </w:rPr>
        <w:t>s</w:t>
      </w:r>
      <w:r w:rsidR="00B431FD" w:rsidRPr="009F7569">
        <w:rPr>
          <w:rFonts w:ascii="Century Gothic" w:hAnsi="Century Gothic" w:cs="Arial"/>
          <w:color w:val="3B3B3B"/>
          <w:sz w:val="24"/>
          <w:szCs w:val="24"/>
          <w:shd w:val="clear" w:color="auto" w:fill="FFFFFF"/>
        </w:rPr>
        <w:t xml:space="preserve"> irregularidades</w:t>
      </w:r>
      <w:r w:rsidR="008F7897" w:rsidRPr="009F7569">
        <w:rPr>
          <w:rFonts w:ascii="Century Gothic" w:hAnsi="Century Gothic" w:cs="Arial"/>
          <w:color w:val="3B3B3B"/>
          <w:sz w:val="24"/>
          <w:szCs w:val="24"/>
          <w:shd w:val="clear" w:color="auto" w:fill="FFFFFF"/>
        </w:rPr>
        <w:t>.</w:t>
      </w:r>
      <w:r w:rsidR="006A68A8" w:rsidRPr="009F7569">
        <w:rPr>
          <w:rFonts w:ascii="Century Gothic" w:hAnsi="Century Gothic" w:cs="Arial"/>
          <w:color w:val="3B3B3B"/>
          <w:sz w:val="24"/>
          <w:szCs w:val="24"/>
          <w:shd w:val="clear" w:color="auto" w:fill="FFFFFF"/>
        </w:rPr>
        <w:t xml:space="preserve"> </w:t>
      </w:r>
    </w:p>
    <w:p w14:paraId="751E8E73" w14:textId="6EA19DA9" w:rsidR="006A68A8" w:rsidRPr="009F7569" w:rsidRDefault="003F779D" w:rsidP="008300F8">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A continuación, m</w:t>
      </w:r>
      <w:r w:rsidR="006A68A8" w:rsidRPr="009F7569">
        <w:rPr>
          <w:rFonts w:ascii="Century Gothic" w:hAnsi="Century Gothic" w:cs="Arial"/>
          <w:color w:val="3B3B3B"/>
          <w:sz w:val="24"/>
          <w:szCs w:val="24"/>
          <w:shd w:val="clear" w:color="auto" w:fill="FFFFFF"/>
        </w:rPr>
        <w:t xml:space="preserve">e permitiré mencionar algunos </w:t>
      </w:r>
      <w:r w:rsidRPr="009F7569">
        <w:rPr>
          <w:rFonts w:ascii="Century Gothic" w:hAnsi="Century Gothic" w:cs="Arial"/>
          <w:color w:val="3B3B3B"/>
          <w:sz w:val="24"/>
          <w:szCs w:val="24"/>
          <w:shd w:val="clear" w:color="auto" w:fill="FFFFFF"/>
        </w:rPr>
        <w:t xml:space="preserve">de los sucesos que se han presentado en algunas entidades del país, </w:t>
      </w:r>
      <w:r w:rsidR="006A68A8" w:rsidRPr="009F7569">
        <w:rPr>
          <w:rFonts w:ascii="Century Gothic" w:hAnsi="Century Gothic" w:cs="Arial"/>
          <w:color w:val="3B3B3B"/>
          <w:sz w:val="24"/>
          <w:szCs w:val="24"/>
          <w:shd w:val="clear" w:color="auto" w:fill="FFFFFF"/>
        </w:rPr>
        <w:t>en razón a la finalidad de este exhorto.</w:t>
      </w:r>
    </w:p>
    <w:p w14:paraId="234B5027" w14:textId="146198A8" w:rsidR="00547AC5" w:rsidRPr="009F7569" w:rsidRDefault="008F7897" w:rsidP="008300F8">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 xml:space="preserve">Los estados que han sido afectados por contratos con </w:t>
      </w:r>
      <w:proofErr w:type="spellStart"/>
      <w:r w:rsidR="009A37FF" w:rsidRPr="009F7569">
        <w:rPr>
          <w:rFonts w:ascii="Century Gothic" w:hAnsi="Century Gothic" w:cs="Arial"/>
          <w:color w:val="3B3B3B"/>
          <w:sz w:val="24"/>
          <w:szCs w:val="24"/>
          <w:shd w:val="clear" w:color="auto" w:fill="FFFFFF"/>
        </w:rPr>
        <w:t>SeguriTech</w:t>
      </w:r>
      <w:proofErr w:type="spellEnd"/>
      <w:r w:rsidRPr="009F7569">
        <w:rPr>
          <w:rFonts w:ascii="Century Gothic" w:hAnsi="Century Gothic" w:cs="Arial"/>
          <w:color w:val="3B3B3B"/>
          <w:sz w:val="24"/>
          <w:szCs w:val="24"/>
          <w:shd w:val="clear" w:color="auto" w:fill="FFFFFF"/>
        </w:rPr>
        <w:t xml:space="preserve"> son Baja California, Sinaloa, Guerrero, Guanajuato, Estado de México y la Ciudad de México, mismos que actualmente se destacan por </w:t>
      </w:r>
      <w:r w:rsidR="006A68A8" w:rsidRPr="009F7569">
        <w:rPr>
          <w:rFonts w:ascii="Century Gothic" w:hAnsi="Century Gothic" w:cs="Arial"/>
          <w:color w:val="3B3B3B"/>
          <w:sz w:val="24"/>
          <w:szCs w:val="24"/>
          <w:shd w:val="clear" w:color="auto" w:fill="FFFFFF"/>
        </w:rPr>
        <w:t xml:space="preserve">contar </w:t>
      </w:r>
      <w:r w:rsidR="00A11D72" w:rsidRPr="009F7569">
        <w:rPr>
          <w:rFonts w:ascii="Century Gothic" w:hAnsi="Century Gothic" w:cs="Arial"/>
          <w:color w:val="3B3B3B"/>
          <w:sz w:val="24"/>
          <w:szCs w:val="24"/>
          <w:shd w:val="clear" w:color="auto" w:fill="FFFFFF"/>
        </w:rPr>
        <w:t>un alto</w:t>
      </w:r>
      <w:r w:rsidRPr="009F7569">
        <w:rPr>
          <w:rFonts w:ascii="Century Gothic" w:hAnsi="Century Gothic" w:cs="Arial"/>
          <w:color w:val="3B3B3B"/>
          <w:sz w:val="24"/>
          <w:szCs w:val="24"/>
          <w:shd w:val="clear" w:color="auto" w:fill="FFFFFF"/>
        </w:rPr>
        <w:t xml:space="preserve"> </w:t>
      </w:r>
      <w:r w:rsidR="006A68A8" w:rsidRPr="009F7569">
        <w:rPr>
          <w:rFonts w:ascii="Century Gothic" w:hAnsi="Century Gothic" w:cs="Arial"/>
          <w:color w:val="3B3B3B"/>
          <w:sz w:val="24"/>
          <w:szCs w:val="24"/>
          <w:shd w:val="clear" w:color="auto" w:fill="FFFFFF"/>
        </w:rPr>
        <w:t xml:space="preserve">índice </w:t>
      </w:r>
      <w:r w:rsidRPr="009F7569">
        <w:rPr>
          <w:rFonts w:ascii="Century Gothic" w:hAnsi="Century Gothic" w:cs="Arial"/>
          <w:color w:val="3B3B3B"/>
          <w:sz w:val="24"/>
          <w:szCs w:val="24"/>
          <w:shd w:val="clear" w:color="auto" w:fill="FFFFFF"/>
        </w:rPr>
        <w:t>de violencia, que se supone es lo que se busca combatir con el servicio de esta empresa</w:t>
      </w:r>
      <w:r w:rsidR="00C02438" w:rsidRPr="009F7569">
        <w:rPr>
          <w:rFonts w:ascii="Century Gothic" w:hAnsi="Century Gothic" w:cs="Arial"/>
          <w:color w:val="3B3B3B"/>
          <w:sz w:val="24"/>
          <w:szCs w:val="24"/>
          <w:shd w:val="clear" w:color="auto" w:fill="FFFFFF"/>
        </w:rPr>
        <w:t>.</w:t>
      </w:r>
    </w:p>
    <w:p w14:paraId="67C8402B" w14:textId="19722F21" w:rsidR="00547AC5" w:rsidRPr="009F7569" w:rsidRDefault="00C02438" w:rsidP="00C02438">
      <w:pPr>
        <w:pStyle w:val="NormalWeb"/>
        <w:shd w:val="clear" w:color="auto" w:fill="FFFFFF"/>
        <w:spacing w:before="0" w:beforeAutospacing="0" w:after="0" w:afterAutospacing="0" w:line="360" w:lineRule="auto"/>
        <w:jc w:val="both"/>
        <w:textAlignment w:val="baseline"/>
        <w:rPr>
          <w:rFonts w:ascii="Century Gothic" w:hAnsi="Century Gothic"/>
          <w:color w:val="333333"/>
        </w:rPr>
      </w:pPr>
      <w:r w:rsidRPr="009F7569">
        <w:rPr>
          <w:rFonts w:ascii="Century Gothic" w:hAnsi="Century Gothic"/>
          <w:color w:val="333333"/>
        </w:rPr>
        <w:t>Diversos medios nacionales</w:t>
      </w:r>
      <w:r w:rsidR="006A68A8" w:rsidRPr="009F7569">
        <w:rPr>
          <w:rFonts w:ascii="Century Gothic" w:hAnsi="Century Gothic"/>
          <w:color w:val="333333"/>
        </w:rPr>
        <w:t xml:space="preserve"> y locales</w:t>
      </w:r>
      <w:r w:rsidRPr="009F7569">
        <w:rPr>
          <w:rFonts w:ascii="Century Gothic" w:hAnsi="Century Gothic"/>
          <w:color w:val="333333"/>
        </w:rPr>
        <w:t xml:space="preserve"> han realizado investigaciones a los contratos </w:t>
      </w:r>
      <w:r w:rsidR="00537466" w:rsidRPr="009F7569">
        <w:rPr>
          <w:rFonts w:ascii="Century Gothic" w:hAnsi="Century Gothic"/>
          <w:color w:val="333333"/>
        </w:rPr>
        <w:t>celebrados</w:t>
      </w:r>
      <w:r w:rsidR="001C6FB8" w:rsidRPr="009F7569">
        <w:rPr>
          <w:rStyle w:val="Refdenotaalpie"/>
          <w:rFonts w:ascii="Century Gothic" w:hAnsi="Century Gothic"/>
          <w:color w:val="333333"/>
        </w:rPr>
        <w:footnoteReference w:id="1"/>
      </w:r>
      <w:r w:rsidRPr="009F7569">
        <w:rPr>
          <w:rFonts w:ascii="Century Gothic" w:hAnsi="Century Gothic"/>
          <w:color w:val="333333"/>
        </w:rPr>
        <w:t>. E</w:t>
      </w:r>
      <w:r w:rsidR="00547AC5" w:rsidRPr="009F7569">
        <w:rPr>
          <w:rFonts w:ascii="Century Gothic" w:hAnsi="Century Gothic"/>
          <w:color w:val="333333"/>
        </w:rPr>
        <w:t>n febrero de 2018 la revista </w:t>
      </w:r>
      <w:r w:rsidR="00547AC5" w:rsidRPr="009F7569">
        <w:rPr>
          <w:rStyle w:val="nfasis"/>
          <w:rFonts w:ascii="Century Gothic" w:hAnsi="Century Gothic"/>
          <w:color w:val="333333"/>
          <w:bdr w:val="none" w:sz="0" w:space="0" w:color="auto" w:frame="1"/>
        </w:rPr>
        <w:t>Proceso</w:t>
      </w:r>
      <w:r w:rsidR="00547AC5" w:rsidRPr="009F7569">
        <w:rPr>
          <w:rFonts w:ascii="Century Gothic" w:hAnsi="Century Gothic"/>
          <w:color w:val="333333"/>
        </w:rPr>
        <w:t> publicó</w:t>
      </w:r>
      <w:r w:rsidR="00A11D72" w:rsidRPr="009F7569">
        <w:rPr>
          <w:rFonts w:ascii="Century Gothic" w:hAnsi="Century Gothic"/>
          <w:color w:val="333333"/>
        </w:rPr>
        <w:t xml:space="preserve"> </w:t>
      </w:r>
      <w:r w:rsidRPr="009F7569">
        <w:rPr>
          <w:rFonts w:ascii="Century Gothic" w:hAnsi="Century Gothic"/>
          <w:color w:val="333333"/>
        </w:rPr>
        <w:t xml:space="preserve">en su </w:t>
      </w:r>
      <w:r w:rsidRPr="009F7569">
        <w:rPr>
          <w:rFonts w:ascii="Century Gothic" w:hAnsi="Century Gothic"/>
        </w:rPr>
        <w:lastRenderedPageBreak/>
        <w:t>reportaje </w:t>
      </w:r>
      <w:hyperlink r:id="rId9" w:tgtFrame="_blank" w:history="1">
        <w:r w:rsidRPr="009F7569">
          <w:rPr>
            <w:rStyle w:val="Hipervnculo"/>
            <w:rFonts w:ascii="Century Gothic" w:hAnsi="Century Gothic"/>
            <w:color w:val="auto"/>
            <w:u w:val="none"/>
            <w:bdr w:val="none" w:sz="0" w:space="0" w:color="auto" w:frame="1"/>
          </w:rPr>
          <w:t>“</w:t>
        </w:r>
        <w:proofErr w:type="spellStart"/>
        <w:r w:rsidRPr="009F7569">
          <w:rPr>
            <w:rStyle w:val="Hipervnculo"/>
            <w:rFonts w:ascii="Century Gothic" w:hAnsi="Century Gothic"/>
            <w:color w:val="auto"/>
            <w:u w:val="none"/>
            <w:bdr w:val="none" w:sz="0" w:space="0" w:color="auto" w:frame="1"/>
          </w:rPr>
          <w:t>Seguritech</w:t>
        </w:r>
        <w:proofErr w:type="spellEnd"/>
        <w:r w:rsidRPr="009F7569">
          <w:rPr>
            <w:rStyle w:val="Hipervnculo"/>
            <w:rFonts w:ascii="Century Gothic" w:hAnsi="Century Gothic"/>
            <w:color w:val="auto"/>
            <w:u w:val="none"/>
            <w:bdr w:val="none" w:sz="0" w:space="0" w:color="auto" w:frame="1"/>
          </w:rPr>
          <w:t>: servicio deficiente, ganancias millonarias”</w:t>
        </w:r>
      </w:hyperlink>
      <w:r w:rsidRPr="009F7569">
        <w:rPr>
          <w:rFonts w:ascii="Century Gothic" w:hAnsi="Century Gothic"/>
        </w:rPr>
        <w:t xml:space="preserve"> </w:t>
      </w:r>
      <w:r w:rsidR="00547AC5" w:rsidRPr="009F7569">
        <w:rPr>
          <w:rFonts w:ascii="Century Gothic" w:hAnsi="Century Gothic"/>
          <w:color w:val="333333"/>
        </w:rPr>
        <w:t xml:space="preserve">que, a esa fecha, </w:t>
      </w:r>
      <w:proofErr w:type="spellStart"/>
      <w:r w:rsidR="00547AC5" w:rsidRPr="009F7569">
        <w:rPr>
          <w:rFonts w:ascii="Century Gothic" w:hAnsi="Century Gothic"/>
          <w:color w:val="333333"/>
        </w:rPr>
        <w:t>Seguritech</w:t>
      </w:r>
      <w:proofErr w:type="spellEnd"/>
      <w:r w:rsidR="00547AC5" w:rsidRPr="009F7569">
        <w:rPr>
          <w:rFonts w:ascii="Century Gothic" w:hAnsi="Century Gothic"/>
          <w:color w:val="333333"/>
        </w:rPr>
        <w:t xml:space="preserve"> había obtenido contratos por 22 mil 307 millones de pesos en 11 entidades federativas por distintos servicios de videovigilancia y renta de instalaciones C5.</w:t>
      </w:r>
      <w:r w:rsidRPr="009F7569">
        <w:rPr>
          <w:rFonts w:ascii="Century Gothic" w:hAnsi="Century Gothic"/>
          <w:color w:val="333333"/>
        </w:rPr>
        <w:t xml:space="preserve"> De igual manera mencionó que </w:t>
      </w:r>
      <w:r w:rsidR="00547AC5" w:rsidRPr="009F7569">
        <w:rPr>
          <w:rFonts w:ascii="Century Gothic" w:hAnsi="Century Gothic"/>
          <w:color w:val="333333"/>
        </w:rPr>
        <w:t xml:space="preserve">“La reputación de </w:t>
      </w:r>
      <w:proofErr w:type="spellStart"/>
      <w:r w:rsidR="00547AC5" w:rsidRPr="009F7569">
        <w:rPr>
          <w:rFonts w:ascii="Century Gothic" w:hAnsi="Century Gothic"/>
          <w:color w:val="333333"/>
        </w:rPr>
        <w:t>Seguritech</w:t>
      </w:r>
      <w:proofErr w:type="spellEnd"/>
      <w:r w:rsidR="00547AC5" w:rsidRPr="009F7569">
        <w:rPr>
          <w:rFonts w:ascii="Century Gothic" w:hAnsi="Century Gothic"/>
          <w:color w:val="333333"/>
        </w:rPr>
        <w:t xml:space="preserve"> ha sido muy cuestionada por su falta de capacidad técnica, altos precios, así como poca transparencia en los procesos de adjudicación en los que ha participado”.</w:t>
      </w:r>
      <w:r w:rsidRPr="009F7569">
        <w:rPr>
          <w:rFonts w:ascii="Century Gothic" w:hAnsi="Century Gothic"/>
          <w:color w:val="333333"/>
        </w:rPr>
        <w:t xml:space="preserve"> </w:t>
      </w:r>
    </w:p>
    <w:p w14:paraId="2E961066" w14:textId="77777777" w:rsidR="00EA1F42" w:rsidRPr="009F7569" w:rsidRDefault="00EA1F42" w:rsidP="00C02438">
      <w:pPr>
        <w:pStyle w:val="NormalWeb"/>
        <w:shd w:val="clear" w:color="auto" w:fill="FFFFFF"/>
        <w:spacing w:before="0" w:beforeAutospacing="0" w:after="0" w:afterAutospacing="0" w:line="360" w:lineRule="auto"/>
        <w:jc w:val="both"/>
        <w:textAlignment w:val="baseline"/>
        <w:rPr>
          <w:rFonts w:ascii="Century Gothic" w:hAnsi="Century Gothic"/>
          <w:color w:val="333333"/>
        </w:rPr>
      </w:pPr>
    </w:p>
    <w:p w14:paraId="77FCCA8A" w14:textId="0D6B1FDC" w:rsidR="00547AC5" w:rsidRPr="009F7569" w:rsidRDefault="00547AC5" w:rsidP="00EA1F42">
      <w:pPr>
        <w:pStyle w:val="NormalWeb"/>
        <w:shd w:val="clear" w:color="auto" w:fill="FFFFFF"/>
        <w:spacing w:before="0" w:beforeAutospacing="0" w:after="0" w:afterAutospacing="0" w:line="360" w:lineRule="auto"/>
        <w:jc w:val="both"/>
        <w:textAlignment w:val="baseline"/>
        <w:rPr>
          <w:rFonts w:ascii="Century Gothic" w:hAnsi="Century Gothic"/>
          <w:color w:val="333333"/>
        </w:rPr>
      </w:pPr>
      <w:r w:rsidRPr="009F7569">
        <w:rPr>
          <w:rStyle w:val="Textoennegrita"/>
          <w:rFonts w:ascii="Century Gothic" w:hAnsi="Century Gothic"/>
          <w:b w:val="0"/>
          <w:bCs w:val="0"/>
          <w:color w:val="333333"/>
          <w:bdr w:val="none" w:sz="0" w:space="0" w:color="auto" w:frame="1"/>
        </w:rPr>
        <w:t>En el Estado de México</w:t>
      </w:r>
      <w:r w:rsidRPr="009F7569">
        <w:rPr>
          <w:rFonts w:ascii="Century Gothic" w:hAnsi="Century Gothic"/>
          <w:color w:val="333333"/>
        </w:rPr>
        <w:t> el gobierno le otorgó un contrato para instalar 10 mil cámaras de videovigilancia por 6 mil 379 millones de pesos, en diciembre del 2013, y para mayo de 2014 le modificó el contrato original para incrementarlo a 6 mil 721 millones</w:t>
      </w:r>
      <w:r w:rsidR="00EA1F42" w:rsidRPr="009F7569">
        <w:rPr>
          <w:rFonts w:ascii="Century Gothic" w:hAnsi="Century Gothic"/>
          <w:color w:val="333333"/>
        </w:rPr>
        <w:t>. Sin embargo, a pesar del contrato millonario</w:t>
      </w:r>
      <w:r w:rsidR="00537466" w:rsidRPr="009F7569">
        <w:rPr>
          <w:rFonts w:ascii="Century Gothic" w:hAnsi="Century Gothic"/>
          <w:color w:val="333333"/>
        </w:rPr>
        <w:t>,</w:t>
      </w:r>
      <w:r w:rsidR="00EA1F42" w:rsidRPr="009F7569">
        <w:rPr>
          <w:rFonts w:ascii="Century Gothic" w:hAnsi="Century Gothic"/>
          <w:color w:val="333333"/>
        </w:rPr>
        <w:t xml:space="preserve"> </w:t>
      </w:r>
      <w:r w:rsidR="00537466" w:rsidRPr="009F7569">
        <w:rPr>
          <w:rFonts w:ascii="Century Gothic" w:hAnsi="Century Gothic"/>
          <w:color w:val="333333"/>
        </w:rPr>
        <w:t>l</w:t>
      </w:r>
      <w:r w:rsidRPr="009F7569">
        <w:rPr>
          <w:rFonts w:ascii="Century Gothic" w:hAnsi="Century Gothic"/>
          <w:color w:val="333333"/>
        </w:rPr>
        <w:t xml:space="preserve">as quejas por el mal servicio de </w:t>
      </w:r>
      <w:proofErr w:type="spellStart"/>
      <w:r w:rsidRPr="009F7569">
        <w:rPr>
          <w:rFonts w:ascii="Century Gothic" w:hAnsi="Century Gothic"/>
          <w:color w:val="333333"/>
        </w:rPr>
        <w:t>Seguritech</w:t>
      </w:r>
      <w:proofErr w:type="spellEnd"/>
      <w:r w:rsidRPr="009F7569">
        <w:rPr>
          <w:rFonts w:ascii="Century Gothic" w:hAnsi="Century Gothic"/>
          <w:color w:val="333333"/>
        </w:rPr>
        <w:t xml:space="preserve"> se </w:t>
      </w:r>
      <w:r w:rsidR="00537466" w:rsidRPr="009F7569">
        <w:rPr>
          <w:rFonts w:ascii="Century Gothic" w:hAnsi="Century Gothic"/>
          <w:color w:val="333333"/>
        </w:rPr>
        <w:t>multiplicaron</w:t>
      </w:r>
      <w:r w:rsidRPr="009F7569">
        <w:rPr>
          <w:rFonts w:ascii="Century Gothic" w:hAnsi="Century Gothic"/>
          <w:color w:val="333333"/>
        </w:rPr>
        <w:t xml:space="preserve"> en el Estado de México, en especial en municipios altamente poblados como Ecatepec y Tlalnepantla”.</w:t>
      </w:r>
      <w:r w:rsidR="00373655" w:rsidRPr="009F7569">
        <w:rPr>
          <w:rFonts w:ascii="Century Gothic" w:hAnsi="Century Gothic"/>
          <w:color w:val="333333"/>
        </w:rPr>
        <w:t xml:space="preserve"> “El esquema fue el mismo, una adjudicación directa entregada de manera injustificada, obligándose a erogar una importante suma de recursos en los siguientes 6 </w:t>
      </w:r>
      <w:r w:rsidR="009A37FF" w:rsidRPr="009F7569">
        <w:rPr>
          <w:rFonts w:ascii="Century Gothic" w:hAnsi="Century Gothic"/>
          <w:color w:val="333333"/>
        </w:rPr>
        <w:t>años</w:t>
      </w:r>
      <w:r w:rsidR="00373655" w:rsidRPr="009F7569">
        <w:rPr>
          <w:rFonts w:ascii="Century Gothic" w:hAnsi="Century Gothic"/>
          <w:color w:val="333333"/>
        </w:rPr>
        <w:t xml:space="preserve">, para un equipo que finalmente sería devuelto a </w:t>
      </w:r>
      <w:proofErr w:type="spellStart"/>
      <w:r w:rsidR="00373655" w:rsidRPr="009F7569">
        <w:rPr>
          <w:rFonts w:ascii="Century Gothic" w:hAnsi="Century Gothic"/>
          <w:color w:val="333333"/>
        </w:rPr>
        <w:t>Seguritech</w:t>
      </w:r>
      <w:proofErr w:type="spellEnd"/>
      <w:r w:rsidR="00373655" w:rsidRPr="009F7569">
        <w:rPr>
          <w:rFonts w:ascii="Century Gothic" w:hAnsi="Century Gothic"/>
          <w:color w:val="333333"/>
        </w:rPr>
        <w:t xml:space="preserve"> cuando terminara la administración”</w:t>
      </w:r>
      <w:r w:rsidR="00373655" w:rsidRPr="009F7569">
        <w:rPr>
          <w:rStyle w:val="Refdenotaalpie"/>
          <w:rFonts w:ascii="Century Gothic" w:hAnsi="Century Gothic"/>
          <w:color w:val="333333"/>
        </w:rPr>
        <w:footnoteReference w:id="2"/>
      </w:r>
      <w:r w:rsidR="00373655" w:rsidRPr="009F7569">
        <w:rPr>
          <w:rFonts w:ascii="Century Gothic" w:hAnsi="Century Gothic"/>
          <w:color w:val="333333"/>
        </w:rPr>
        <w:t xml:space="preserve">. </w:t>
      </w:r>
    </w:p>
    <w:p w14:paraId="57BD7E4E" w14:textId="77777777" w:rsidR="00EA1F42" w:rsidRPr="009F7569" w:rsidRDefault="00EA1F42" w:rsidP="00EA1F42">
      <w:pPr>
        <w:pStyle w:val="NormalWeb"/>
        <w:shd w:val="clear" w:color="auto" w:fill="FFFFFF"/>
        <w:spacing w:before="0" w:beforeAutospacing="0" w:after="0" w:afterAutospacing="0"/>
        <w:textAlignment w:val="baseline"/>
        <w:rPr>
          <w:rFonts w:ascii="Merriweather" w:hAnsi="Merriweather"/>
          <w:color w:val="333333"/>
        </w:rPr>
      </w:pPr>
    </w:p>
    <w:p w14:paraId="12D6C136" w14:textId="1B3F5389" w:rsidR="00085CAA" w:rsidRPr="009F7569" w:rsidRDefault="00547AC5" w:rsidP="00085CAA">
      <w:pPr>
        <w:pStyle w:val="NormalWeb"/>
        <w:shd w:val="clear" w:color="auto" w:fill="FFFFFF"/>
        <w:spacing w:before="0" w:beforeAutospacing="0" w:after="0" w:afterAutospacing="0" w:line="360" w:lineRule="auto"/>
        <w:jc w:val="both"/>
        <w:textAlignment w:val="baseline"/>
        <w:rPr>
          <w:rFonts w:ascii="Century Gothic" w:hAnsi="Century Gothic"/>
          <w:color w:val="333333"/>
        </w:rPr>
      </w:pPr>
      <w:r w:rsidRPr="009F7569">
        <w:rPr>
          <w:rFonts w:ascii="Century Gothic" w:hAnsi="Century Gothic"/>
          <w:color w:val="333333"/>
        </w:rPr>
        <w:t>El periódico </w:t>
      </w:r>
      <w:r w:rsidRPr="009F7569">
        <w:rPr>
          <w:rStyle w:val="nfasis"/>
          <w:rFonts w:ascii="Century Gothic" w:hAnsi="Century Gothic"/>
          <w:color w:val="333333"/>
          <w:bdr w:val="none" w:sz="0" w:space="0" w:color="auto" w:frame="1"/>
        </w:rPr>
        <w:t>Noroeste</w:t>
      </w:r>
      <w:r w:rsidRPr="009F7569">
        <w:rPr>
          <w:rFonts w:ascii="Century Gothic" w:hAnsi="Century Gothic"/>
          <w:color w:val="333333"/>
        </w:rPr>
        <w:t xml:space="preserve"> de Sinaloa publicó </w:t>
      </w:r>
      <w:r w:rsidR="00782956" w:rsidRPr="009F7569">
        <w:rPr>
          <w:rFonts w:ascii="Century Gothic" w:hAnsi="Century Gothic"/>
          <w:color w:val="333333"/>
        </w:rPr>
        <w:t xml:space="preserve">en el 2018 </w:t>
      </w:r>
      <w:r w:rsidRPr="009F7569">
        <w:rPr>
          <w:rFonts w:ascii="Century Gothic" w:hAnsi="Century Gothic"/>
          <w:color w:val="333333"/>
        </w:rPr>
        <w:t xml:space="preserve">el </w:t>
      </w:r>
      <w:r w:rsidRPr="009F7569">
        <w:rPr>
          <w:rFonts w:ascii="Century Gothic" w:hAnsi="Century Gothic"/>
        </w:rPr>
        <w:t>reportaje </w:t>
      </w:r>
      <w:hyperlink r:id="rId10" w:tgtFrame="_blank" w:history="1">
        <w:r w:rsidRPr="009F7569">
          <w:rPr>
            <w:rStyle w:val="Hipervnculo"/>
            <w:rFonts w:ascii="Century Gothic" w:hAnsi="Century Gothic"/>
            <w:color w:val="auto"/>
            <w:u w:val="none"/>
            <w:bdr w:val="none" w:sz="0" w:space="0" w:color="auto" w:frame="1"/>
          </w:rPr>
          <w:t>“Inseguridad: La mina de oro”</w:t>
        </w:r>
      </w:hyperlink>
      <w:r w:rsidR="000C0C88" w:rsidRPr="009F7569">
        <w:rPr>
          <w:rStyle w:val="Refdenotaalpie"/>
          <w:rFonts w:ascii="Century Gothic" w:hAnsi="Century Gothic"/>
        </w:rPr>
        <w:footnoteReference w:id="3"/>
      </w:r>
      <w:r w:rsidRPr="009F7569">
        <w:rPr>
          <w:rFonts w:ascii="Century Gothic" w:hAnsi="Century Gothic"/>
          <w:color w:val="333333"/>
        </w:rPr>
        <w:t xml:space="preserve">, en el cual documenta las </w:t>
      </w:r>
      <w:r w:rsidRPr="009F7569">
        <w:rPr>
          <w:rFonts w:ascii="Century Gothic" w:hAnsi="Century Gothic"/>
          <w:color w:val="333333"/>
        </w:rPr>
        <w:lastRenderedPageBreak/>
        <w:t>irregularidades detectadas en varios estados.</w:t>
      </w:r>
      <w:r w:rsidR="00A11D72" w:rsidRPr="009F7569">
        <w:rPr>
          <w:rFonts w:ascii="Century Gothic" w:hAnsi="Century Gothic"/>
          <w:color w:val="333333"/>
        </w:rPr>
        <w:t xml:space="preserve"> </w:t>
      </w:r>
      <w:r w:rsidR="00782956" w:rsidRPr="009F7569">
        <w:rPr>
          <w:rFonts w:ascii="Century Gothic" w:hAnsi="Century Gothic"/>
          <w:color w:val="333333"/>
        </w:rPr>
        <w:t>S</w:t>
      </w:r>
      <w:r w:rsidR="00A11D72" w:rsidRPr="009F7569">
        <w:rPr>
          <w:rFonts w:ascii="Century Gothic" w:hAnsi="Century Gothic"/>
          <w:color w:val="333333"/>
        </w:rPr>
        <w:t xml:space="preserve">eñala que </w:t>
      </w:r>
      <w:r w:rsidR="00782956" w:rsidRPr="009F7569">
        <w:rPr>
          <w:rFonts w:ascii="Century Gothic" w:hAnsi="Century Gothic"/>
          <w:color w:val="333333"/>
        </w:rPr>
        <w:t>el contrato fue para rentar videocámaras, vehículos blindados, helicópteros y un complejo de seguridad por un monto de más de mil trescientos millones de pesos</w:t>
      </w:r>
      <w:r w:rsidR="00D5246B" w:rsidRPr="009F7569">
        <w:rPr>
          <w:rFonts w:ascii="Century Gothic" w:hAnsi="Century Gothic"/>
          <w:color w:val="333333"/>
        </w:rPr>
        <w:t>.</w:t>
      </w:r>
      <w:r w:rsidR="00782956" w:rsidRPr="009F7569">
        <w:rPr>
          <w:rFonts w:ascii="Century Gothic" w:hAnsi="Century Gothic"/>
          <w:color w:val="333333"/>
        </w:rPr>
        <w:t xml:space="preserve"> En el documental el </w:t>
      </w:r>
      <w:r w:rsidR="00D5246B" w:rsidRPr="009F7569">
        <w:rPr>
          <w:rFonts w:ascii="Century Gothic" w:hAnsi="Century Gothic"/>
          <w:color w:val="333333"/>
        </w:rPr>
        <w:t>secretario</w:t>
      </w:r>
      <w:r w:rsidR="00782956" w:rsidRPr="009F7569">
        <w:rPr>
          <w:rFonts w:ascii="Century Gothic" w:hAnsi="Century Gothic"/>
          <w:color w:val="333333"/>
        </w:rPr>
        <w:t xml:space="preserve"> de Seguridad Pública de Sinaloa, menciona que ni los vehículos ni </w:t>
      </w:r>
      <w:r w:rsidR="00A11D72" w:rsidRPr="009F7569">
        <w:rPr>
          <w:rFonts w:ascii="Century Gothic" w:hAnsi="Century Gothic"/>
          <w:color w:val="333333"/>
        </w:rPr>
        <w:t>las instalaciones</w:t>
      </w:r>
      <w:r w:rsidR="00782956" w:rsidRPr="009F7569">
        <w:rPr>
          <w:rFonts w:ascii="Century Gothic" w:hAnsi="Century Gothic"/>
          <w:color w:val="333333"/>
        </w:rPr>
        <w:t xml:space="preserve"> </w:t>
      </w:r>
      <w:r w:rsidR="000A5F0A" w:rsidRPr="009F7569">
        <w:rPr>
          <w:rFonts w:ascii="Century Gothic" w:hAnsi="Century Gothic"/>
          <w:color w:val="333333"/>
        </w:rPr>
        <w:t>estaban adecuadas en cuanto a las condiciones d</w:t>
      </w:r>
      <w:r w:rsidR="00782956" w:rsidRPr="009F7569">
        <w:rPr>
          <w:rFonts w:ascii="Century Gothic" w:hAnsi="Century Gothic"/>
          <w:color w:val="333333"/>
        </w:rPr>
        <w:t xml:space="preserve">el contrato. </w:t>
      </w:r>
      <w:r w:rsidR="00085CAA" w:rsidRPr="009F7569">
        <w:rPr>
          <w:rFonts w:ascii="Century Gothic" w:hAnsi="Century Gothic"/>
          <w:color w:val="333333"/>
        </w:rPr>
        <w:t>A la fecha el Gobierno de Sinaloa sostiene una negociación con la empresa para reducir la deuda por distintas irregularidades que fueron reservadas para evitar situaciones legales.</w:t>
      </w:r>
    </w:p>
    <w:p w14:paraId="7E5046FC" w14:textId="77777777" w:rsidR="00BF25DE" w:rsidRPr="009F7569" w:rsidRDefault="00BF25DE" w:rsidP="00782956">
      <w:pPr>
        <w:pStyle w:val="NormalWeb"/>
        <w:shd w:val="clear" w:color="auto" w:fill="FFFFFF"/>
        <w:spacing w:before="0" w:beforeAutospacing="0" w:after="0" w:afterAutospacing="0" w:line="360" w:lineRule="auto"/>
        <w:jc w:val="both"/>
        <w:textAlignment w:val="baseline"/>
        <w:rPr>
          <w:rStyle w:val="Textoennegrita"/>
          <w:rFonts w:ascii="Century Gothic" w:hAnsi="Century Gothic"/>
          <w:b w:val="0"/>
          <w:bCs w:val="0"/>
          <w:color w:val="333333"/>
          <w:bdr w:val="none" w:sz="0" w:space="0" w:color="auto" w:frame="1"/>
        </w:rPr>
      </w:pPr>
    </w:p>
    <w:p w14:paraId="0BD5B2F2" w14:textId="1D5FA0DD" w:rsidR="00547AC5" w:rsidRPr="009F7569" w:rsidRDefault="00547AC5" w:rsidP="00782956">
      <w:pPr>
        <w:pStyle w:val="NormalWeb"/>
        <w:shd w:val="clear" w:color="auto" w:fill="FFFFFF"/>
        <w:spacing w:before="0" w:beforeAutospacing="0" w:after="0" w:afterAutospacing="0" w:line="360" w:lineRule="auto"/>
        <w:jc w:val="both"/>
        <w:textAlignment w:val="baseline"/>
        <w:rPr>
          <w:rFonts w:ascii="Century Gothic" w:hAnsi="Century Gothic"/>
          <w:color w:val="333333"/>
        </w:rPr>
      </w:pPr>
      <w:r w:rsidRPr="009F7569">
        <w:rPr>
          <w:rStyle w:val="Textoennegrita"/>
          <w:rFonts w:ascii="Century Gothic" w:hAnsi="Century Gothic"/>
          <w:b w:val="0"/>
          <w:bCs w:val="0"/>
          <w:color w:val="333333"/>
          <w:bdr w:val="none" w:sz="0" w:space="0" w:color="auto" w:frame="1"/>
        </w:rPr>
        <w:t>En Guanajuato,</w:t>
      </w:r>
      <w:r w:rsidRPr="009F7569">
        <w:rPr>
          <w:rFonts w:ascii="Century Gothic" w:hAnsi="Century Gothic"/>
          <w:color w:val="333333"/>
        </w:rPr>
        <w:t xml:space="preserve"> en 2012, el gobierno “apostó por un proyecto de combate a la violencia llamado Proyecto Escudo, que se pensó para reducir el índice de delitos, estrategia </w:t>
      </w:r>
      <w:r w:rsidR="00085CAA" w:rsidRPr="009F7569">
        <w:rPr>
          <w:rFonts w:ascii="Century Gothic" w:hAnsi="Century Gothic"/>
          <w:color w:val="333333"/>
        </w:rPr>
        <w:t xml:space="preserve">que </w:t>
      </w:r>
      <w:r w:rsidRPr="009F7569">
        <w:rPr>
          <w:rFonts w:ascii="Century Gothic" w:hAnsi="Century Gothic"/>
          <w:color w:val="333333"/>
        </w:rPr>
        <w:t>resultó contraria”</w:t>
      </w:r>
      <w:r w:rsidR="00BF25DE" w:rsidRPr="009F7569">
        <w:rPr>
          <w:rFonts w:ascii="Century Gothic" w:hAnsi="Century Gothic"/>
          <w:color w:val="333333"/>
        </w:rPr>
        <w:t>. Consistente en instalar un esquema de videovigilancia, fibra óptica y arcos carreteros con un costo de 2 mil 727 millones 893 mil 413 pesos a pagarse durante todo un sexenio. El medio denominado Zeta logró una copia del contrato y detectó que, pese a lo elevado del costo, se trataba de un arrendamiento donde todo el equipo es propiedad del “Prestador del servicio”, por lo que debía devolverse al término del contrato</w:t>
      </w:r>
      <w:r w:rsidR="00BF25DE" w:rsidRPr="009F7569">
        <w:rPr>
          <w:rStyle w:val="Refdenotaalpie"/>
          <w:rFonts w:ascii="Century Gothic" w:hAnsi="Century Gothic"/>
          <w:color w:val="333333"/>
        </w:rPr>
        <w:footnoteReference w:id="4"/>
      </w:r>
      <w:r w:rsidR="00BF25DE" w:rsidRPr="009F7569">
        <w:rPr>
          <w:rFonts w:ascii="Century Gothic" w:hAnsi="Century Gothic"/>
          <w:color w:val="333333"/>
        </w:rPr>
        <w:t xml:space="preserve">. </w:t>
      </w:r>
    </w:p>
    <w:p w14:paraId="1DD24AE5" w14:textId="77777777" w:rsidR="00EA1F42" w:rsidRPr="009F7569" w:rsidRDefault="00EA1F42" w:rsidP="00547AC5">
      <w:pPr>
        <w:pStyle w:val="NormalWeb"/>
        <w:shd w:val="clear" w:color="auto" w:fill="FFFFFF"/>
        <w:spacing w:before="0" w:beforeAutospacing="0" w:after="0" w:afterAutospacing="0"/>
        <w:textAlignment w:val="baseline"/>
        <w:rPr>
          <w:rStyle w:val="Textoennegrita"/>
          <w:rFonts w:ascii="inherit" w:hAnsi="inherit"/>
          <w:color w:val="333333"/>
          <w:bdr w:val="none" w:sz="0" w:space="0" w:color="auto" w:frame="1"/>
        </w:rPr>
      </w:pPr>
    </w:p>
    <w:p w14:paraId="30299F63" w14:textId="0D977CC8" w:rsidR="00547AC5" w:rsidRPr="009F7569" w:rsidRDefault="00547AC5" w:rsidP="00D5246B">
      <w:pPr>
        <w:pStyle w:val="NormalWeb"/>
        <w:shd w:val="clear" w:color="auto" w:fill="FFFFFF"/>
        <w:spacing w:before="0" w:beforeAutospacing="0" w:after="0" w:afterAutospacing="0" w:line="360" w:lineRule="auto"/>
        <w:jc w:val="both"/>
        <w:textAlignment w:val="baseline"/>
        <w:rPr>
          <w:rFonts w:ascii="Century Gothic" w:hAnsi="Century Gothic"/>
          <w:color w:val="333333"/>
        </w:rPr>
      </w:pPr>
      <w:r w:rsidRPr="009F7569">
        <w:rPr>
          <w:rStyle w:val="Textoennegrita"/>
          <w:rFonts w:ascii="Century Gothic" w:hAnsi="Century Gothic"/>
          <w:b w:val="0"/>
          <w:bCs w:val="0"/>
          <w:color w:val="333333"/>
          <w:bdr w:val="none" w:sz="0" w:space="0" w:color="auto" w:frame="1"/>
        </w:rPr>
        <w:t>En Guerrero,</w:t>
      </w:r>
      <w:r w:rsidRPr="009F7569">
        <w:rPr>
          <w:rFonts w:ascii="Century Gothic" w:hAnsi="Century Gothic"/>
          <w:color w:val="333333"/>
        </w:rPr>
        <w:t> “la empresa se comprometió con la instalación de botones de pánico, alarmas vecinales y videocámaras en el municipio de Acapulco de Juárez, pero no cumplió”.</w:t>
      </w:r>
      <w:r w:rsidR="00D5246B" w:rsidRPr="009F7569">
        <w:rPr>
          <w:rFonts w:ascii="Century Gothic" w:hAnsi="Century Gothic"/>
          <w:color w:val="333333"/>
        </w:rPr>
        <w:t xml:space="preserve"> </w:t>
      </w:r>
      <w:r w:rsidR="00085CAA" w:rsidRPr="009F7569">
        <w:rPr>
          <w:rFonts w:ascii="Century Gothic" w:hAnsi="Century Gothic"/>
          <w:color w:val="333333"/>
        </w:rPr>
        <w:t>Además,</w:t>
      </w:r>
      <w:r w:rsidR="00D5246B" w:rsidRPr="009F7569">
        <w:rPr>
          <w:rFonts w:ascii="Century Gothic" w:hAnsi="Century Gothic"/>
          <w:color w:val="333333"/>
        </w:rPr>
        <w:t xml:space="preserve"> </w:t>
      </w:r>
      <w:r w:rsidRPr="009F7569">
        <w:rPr>
          <w:rFonts w:ascii="Century Gothic" w:hAnsi="Century Gothic"/>
          <w:color w:val="333333"/>
        </w:rPr>
        <w:t xml:space="preserve">En una auditoría local se encontró que dicha empresa </w:t>
      </w:r>
      <w:r w:rsidR="00537466" w:rsidRPr="009F7569">
        <w:rPr>
          <w:rFonts w:ascii="Century Gothic" w:hAnsi="Century Gothic"/>
          <w:color w:val="333333"/>
        </w:rPr>
        <w:t>realizó</w:t>
      </w:r>
      <w:r w:rsidRPr="009F7569">
        <w:rPr>
          <w:rFonts w:ascii="Century Gothic" w:hAnsi="Century Gothic"/>
          <w:color w:val="333333"/>
        </w:rPr>
        <w:t xml:space="preserve"> instalaciones indebidas.</w:t>
      </w:r>
    </w:p>
    <w:p w14:paraId="497F5ABE" w14:textId="77777777" w:rsidR="00BF25DE" w:rsidRPr="009F7569" w:rsidRDefault="00BF25DE" w:rsidP="00D5246B">
      <w:pPr>
        <w:pStyle w:val="NormalWeb"/>
        <w:shd w:val="clear" w:color="auto" w:fill="FFFFFF"/>
        <w:spacing w:before="0" w:beforeAutospacing="0" w:after="0" w:afterAutospacing="0" w:line="360" w:lineRule="auto"/>
        <w:jc w:val="both"/>
        <w:textAlignment w:val="baseline"/>
        <w:rPr>
          <w:rFonts w:ascii="Century Gothic" w:hAnsi="Century Gothic"/>
          <w:color w:val="333333"/>
        </w:rPr>
      </w:pPr>
    </w:p>
    <w:p w14:paraId="67F94C6D" w14:textId="17D64E71" w:rsidR="00392E47" w:rsidRPr="009F7569" w:rsidRDefault="00537466" w:rsidP="00392E47">
      <w:pPr>
        <w:shd w:val="clear" w:color="auto" w:fill="FFFFFF"/>
        <w:spacing w:line="360" w:lineRule="auto"/>
        <w:jc w:val="both"/>
        <w:textAlignment w:val="baseline"/>
        <w:rPr>
          <w:rFonts w:ascii="Century Gothic" w:hAnsi="Century Gothic"/>
          <w:color w:val="333333"/>
          <w:sz w:val="24"/>
          <w:szCs w:val="24"/>
        </w:rPr>
      </w:pPr>
      <w:r w:rsidRPr="009F7569">
        <w:rPr>
          <w:rFonts w:ascii="Century Gothic" w:hAnsi="Century Gothic"/>
          <w:color w:val="333333"/>
          <w:sz w:val="24"/>
          <w:szCs w:val="24"/>
        </w:rPr>
        <w:lastRenderedPageBreak/>
        <w:t xml:space="preserve">Y el caso más reciente es el reportado por </w:t>
      </w:r>
      <w:r w:rsidR="00547AC5" w:rsidRPr="009F7569">
        <w:rPr>
          <w:rStyle w:val="Textoennegrita"/>
          <w:rFonts w:ascii="Century Gothic" w:hAnsi="Century Gothic"/>
          <w:b w:val="0"/>
          <w:bCs w:val="0"/>
          <w:color w:val="333333"/>
          <w:sz w:val="24"/>
          <w:szCs w:val="24"/>
          <w:bdr w:val="none" w:sz="0" w:space="0" w:color="auto" w:frame="1"/>
        </w:rPr>
        <w:t>El semanario </w:t>
      </w:r>
      <w:r w:rsidR="00547AC5" w:rsidRPr="009F7569">
        <w:rPr>
          <w:rStyle w:val="nfasis"/>
          <w:rFonts w:ascii="Century Gothic" w:hAnsi="Century Gothic"/>
          <w:i w:val="0"/>
          <w:iCs w:val="0"/>
          <w:color w:val="333333"/>
          <w:sz w:val="24"/>
          <w:szCs w:val="24"/>
          <w:bdr w:val="none" w:sz="0" w:space="0" w:color="auto" w:frame="1"/>
        </w:rPr>
        <w:t>Zeta</w:t>
      </w:r>
      <w:r w:rsidR="00547AC5" w:rsidRPr="009F7569">
        <w:rPr>
          <w:rStyle w:val="Textoennegrita"/>
          <w:rFonts w:ascii="Century Gothic" w:hAnsi="Century Gothic"/>
          <w:b w:val="0"/>
          <w:bCs w:val="0"/>
          <w:color w:val="333333"/>
          <w:sz w:val="24"/>
          <w:szCs w:val="24"/>
          <w:bdr w:val="none" w:sz="0" w:space="0" w:color="auto" w:frame="1"/>
        </w:rPr>
        <w:t> de Tijuana</w:t>
      </w:r>
      <w:r w:rsidRPr="009F7569">
        <w:rPr>
          <w:rFonts w:ascii="Century Gothic" w:hAnsi="Century Gothic"/>
          <w:color w:val="333333"/>
          <w:sz w:val="24"/>
          <w:szCs w:val="24"/>
        </w:rPr>
        <w:t xml:space="preserve">, el cual </w:t>
      </w:r>
      <w:r w:rsidR="00547AC5" w:rsidRPr="009F7569">
        <w:rPr>
          <w:rFonts w:ascii="Century Gothic" w:hAnsi="Century Gothic"/>
          <w:color w:val="333333"/>
          <w:sz w:val="24"/>
          <w:szCs w:val="24"/>
        </w:rPr>
        <w:t>publicó en febrero de 2021 el reportaje </w:t>
      </w:r>
      <w:hyperlink r:id="rId11" w:tgtFrame="_blank" w:history="1">
        <w:r w:rsidR="00547AC5" w:rsidRPr="009F7569">
          <w:rPr>
            <w:rStyle w:val="Hipervnculo"/>
            <w:rFonts w:ascii="Century Gothic" w:hAnsi="Century Gothic"/>
            <w:color w:val="auto"/>
            <w:sz w:val="24"/>
            <w:szCs w:val="24"/>
            <w:u w:val="none"/>
            <w:bdr w:val="none" w:sz="0" w:space="0" w:color="auto" w:frame="1"/>
          </w:rPr>
          <w:t>“Baja California C5i: Simulación, opacidad y negocio”</w:t>
        </w:r>
      </w:hyperlink>
      <w:r w:rsidR="00547AC5" w:rsidRPr="009F7569">
        <w:rPr>
          <w:rFonts w:ascii="Century Gothic" w:hAnsi="Century Gothic"/>
          <w:sz w:val="24"/>
          <w:szCs w:val="24"/>
        </w:rPr>
        <w:t>,</w:t>
      </w:r>
      <w:r w:rsidR="00547AC5" w:rsidRPr="009F7569">
        <w:rPr>
          <w:rFonts w:ascii="Century Gothic" w:hAnsi="Century Gothic"/>
          <w:color w:val="333333"/>
          <w:sz w:val="24"/>
          <w:szCs w:val="24"/>
        </w:rPr>
        <w:t xml:space="preserve"> en el que documenta </w:t>
      </w:r>
      <w:proofErr w:type="spellStart"/>
      <w:r w:rsidR="00547AC5" w:rsidRPr="009F7569">
        <w:rPr>
          <w:rFonts w:ascii="Century Gothic" w:hAnsi="Century Gothic"/>
          <w:color w:val="333333"/>
          <w:sz w:val="24"/>
          <w:szCs w:val="24"/>
        </w:rPr>
        <w:t>sobrepecios</w:t>
      </w:r>
      <w:proofErr w:type="spellEnd"/>
      <w:r w:rsidR="00547AC5" w:rsidRPr="009F7569">
        <w:rPr>
          <w:rFonts w:ascii="Century Gothic" w:hAnsi="Century Gothic"/>
          <w:color w:val="333333"/>
          <w:sz w:val="24"/>
          <w:szCs w:val="24"/>
        </w:rPr>
        <w:t xml:space="preserve"> cobrados por </w:t>
      </w:r>
      <w:proofErr w:type="spellStart"/>
      <w:r w:rsidR="00547AC5" w:rsidRPr="009F7569">
        <w:rPr>
          <w:rFonts w:ascii="Century Gothic" w:hAnsi="Century Gothic"/>
          <w:color w:val="333333"/>
          <w:sz w:val="24"/>
          <w:szCs w:val="24"/>
        </w:rPr>
        <w:t>SeguriTech</w:t>
      </w:r>
      <w:proofErr w:type="spellEnd"/>
      <w:r w:rsidR="00547AC5" w:rsidRPr="009F7569">
        <w:rPr>
          <w:rFonts w:ascii="Century Gothic" w:hAnsi="Century Gothic"/>
          <w:color w:val="333333"/>
          <w:sz w:val="24"/>
          <w:szCs w:val="24"/>
        </w:rPr>
        <w:t xml:space="preserve"> en un contrato de 789 millones de pesos a pagar en 10 años.</w:t>
      </w:r>
      <w:r w:rsidRPr="009F7569">
        <w:rPr>
          <w:rFonts w:ascii="Century Gothic" w:hAnsi="Century Gothic"/>
          <w:color w:val="333333"/>
          <w:sz w:val="24"/>
          <w:szCs w:val="24"/>
        </w:rPr>
        <w:t xml:space="preserve">  </w:t>
      </w:r>
      <w:r w:rsidR="00547AC5" w:rsidRPr="009F7569">
        <w:rPr>
          <w:rFonts w:ascii="Century Gothic" w:hAnsi="Century Gothic"/>
          <w:color w:val="333333"/>
          <w:sz w:val="24"/>
          <w:szCs w:val="24"/>
        </w:rPr>
        <w:t>Los equipos estaban hasta tres</w:t>
      </w:r>
      <w:r w:rsidRPr="009F7569">
        <w:rPr>
          <w:rFonts w:ascii="Century Gothic" w:hAnsi="Century Gothic"/>
          <w:color w:val="333333"/>
          <w:sz w:val="24"/>
          <w:szCs w:val="24"/>
        </w:rPr>
        <w:t xml:space="preserve"> o </w:t>
      </w:r>
      <w:r w:rsidR="00547AC5" w:rsidRPr="009F7569">
        <w:rPr>
          <w:rFonts w:ascii="Century Gothic" w:hAnsi="Century Gothic"/>
          <w:color w:val="333333"/>
          <w:sz w:val="24"/>
          <w:szCs w:val="24"/>
        </w:rPr>
        <w:t>cuatro veces más caros de lo que era el valor de mercado de los mismos</w:t>
      </w:r>
      <w:r w:rsidR="00392E47" w:rsidRPr="009F7569">
        <w:rPr>
          <w:rFonts w:ascii="Century Gothic" w:hAnsi="Century Gothic"/>
          <w:color w:val="333333"/>
          <w:sz w:val="24"/>
          <w:szCs w:val="24"/>
        </w:rPr>
        <w:t>, además</w:t>
      </w:r>
      <w:r w:rsidR="00547AC5" w:rsidRPr="009F7569">
        <w:rPr>
          <w:rFonts w:ascii="Century Gothic" w:hAnsi="Century Gothic"/>
          <w:color w:val="333333"/>
          <w:sz w:val="24"/>
          <w:szCs w:val="24"/>
        </w:rPr>
        <w:t xml:space="preserve"> no eran equipos de primera generación</w:t>
      </w:r>
      <w:r w:rsidR="00392E47" w:rsidRPr="009F7569">
        <w:rPr>
          <w:rFonts w:ascii="Century Gothic" w:hAnsi="Century Gothic"/>
          <w:color w:val="333333"/>
          <w:sz w:val="24"/>
          <w:szCs w:val="24"/>
        </w:rPr>
        <w:t>.</w:t>
      </w:r>
    </w:p>
    <w:p w14:paraId="138BF3F5" w14:textId="7B1ACC9A" w:rsidR="00392E47" w:rsidRPr="009F7569" w:rsidRDefault="00392E47" w:rsidP="00392E47">
      <w:pPr>
        <w:shd w:val="clear" w:color="auto" w:fill="FFFFFF"/>
        <w:spacing w:line="360" w:lineRule="auto"/>
        <w:jc w:val="both"/>
        <w:textAlignment w:val="baseline"/>
        <w:rPr>
          <w:rFonts w:ascii="Century Gothic" w:hAnsi="Century Gothic"/>
          <w:color w:val="333333"/>
          <w:sz w:val="24"/>
          <w:szCs w:val="24"/>
        </w:rPr>
      </w:pPr>
    </w:p>
    <w:p w14:paraId="4E73993C" w14:textId="00EE5DEC" w:rsidR="00392E47" w:rsidRPr="009F7569" w:rsidRDefault="00392E47" w:rsidP="00392E47">
      <w:pPr>
        <w:shd w:val="clear" w:color="auto" w:fill="FFFFFF"/>
        <w:spacing w:line="360" w:lineRule="auto"/>
        <w:jc w:val="both"/>
        <w:textAlignment w:val="baseline"/>
        <w:rPr>
          <w:rFonts w:ascii="Century Gothic" w:hAnsi="Century Gothic"/>
          <w:color w:val="333333"/>
          <w:sz w:val="24"/>
          <w:szCs w:val="24"/>
        </w:rPr>
      </w:pPr>
      <w:r w:rsidRPr="009F7569">
        <w:rPr>
          <w:rFonts w:ascii="Century Gothic" w:hAnsi="Century Gothic"/>
          <w:color w:val="333333"/>
          <w:sz w:val="24"/>
          <w:szCs w:val="24"/>
        </w:rPr>
        <w:t xml:space="preserve">Ante este panorama, es </w:t>
      </w:r>
      <w:r w:rsidR="00952BAF" w:rsidRPr="009F7569">
        <w:rPr>
          <w:rFonts w:ascii="Century Gothic" w:hAnsi="Century Gothic"/>
          <w:color w:val="333333"/>
          <w:sz w:val="24"/>
          <w:szCs w:val="24"/>
        </w:rPr>
        <w:t>preocupante</w:t>
      </w:r>
      <w:r w:rsidRPr="009F7569">
        <w:rPr>
          <w:rFonts w:ascii="Century Gothic" w:hAnsi="Century Gothic"/>
          <w:color w:val="333333"/>
          <w:sz w:val="24"/>
          <w:szCs w:val="24"/>
        </w:rPr>
        <w:t xml:space="preserve"> la decisión de la Gobernadora del Estado de otorgar un contrato que pagaremos las y los chihuahuenses, a una empresa con estos antecedentes. Hablamos de una deuda de </w:t>
      </w:r>
      <w:r w:rsidR="009A37FF" w:rsidRPr="009F7569">
        <w:rPr>
          <w:rFonts w:ascii="Century Gothic" w:hAnsi="Century Gothic"/>
          <w:color w:val="333333"/>
          <w:sz w:val="24"/>
          <w:szCs w:val="24"/>
        </w:rPr>
        <w:t>más</w:t>
      </w:r>
      <w:r w:rsidRPr="009F7569">
        <w:rPr>
          <w:rFonts w:ascii="Century Gothic" w:hAnsi="Century Gothic"/>
          <w:color w:val="333333"/>
          <w:sz w:val="24"/>
          <w:szCs w:val="24"/>
        </w:rPr>
        <w:t xml:space="preserve"> de 4mil millones de pesos</w:t>
      </w:r>
      <w:r w:rsidR="00952BAF" w:rsidRPr="009F7569">
        <w:rPr>
          <w:rFonts w:ascii="Century Gothic" w:hAnsi="Century Gothic"/>
          <w:color w:val="333333"/>
          <w:sz w:val="24"/>
          <w:szCs w:val="24"/>
        </w:rPr>
        <w:t xml:space="preserve"> y </w:t>
      </w:r>
      <w:proofErr w:type="spellStart"/>
      <w:r w:rsidR="00952BAF" w:rsidRPr="009F7569">
        <w:rPr>
          <w:rFonts w:ascii="Century Gothic" w:hAnsi="Century Gothic"/>
          <w:color w:val="333333"/>
          <w:sz w:val="24"/>
          <w:szCs w:val="24"/>
        </w:rPr>
        <w:t>sobretodo</w:t>
      </w:r>
      <w:proofErr w:type="spellEnd"/>
      <w:r w:rsidR="00952BAF" w:rsidRPr="009F7569">
        <w:rPr>
          <w:rFonts w:ascii="Century Gothic" w:hAnsi="Century Gothic"/>
          <w:color w:val="333333"/>
          <w:sz w:val="24"/>
          <w:szCs w:val="24"/>
        </w:rPr>
        <w:t xml:space="preserve"> mediante un contrato de adjudicación directa que parece indicar que se otorgó de forma discrecional. </w:t>
      </w:r>
    </w:p>
    <w:p w14:paraId="23B66805" w14:textId="77777777" w:rsidR="00952BAF" w:rsidRPr="009F7569" w:rsidRDefault="00952BAF" w:rsidP="00392E47">
      <w:pPr>
        <w:shd w:val="clear" w:color="auto" w:fill="FFFFFF"/>
        <w:spacing w:line="360" w:lineRule="auto"/>
        <w:jc w:val="both"/>
        <w:textAlignment w:val="baseline"/>
        <w:rPr>
          <w:rFonts w:ascii="Century Gothic" w:hAnsi="Century Gothic"/>
          <w:color w:val="333333"/>
          <w:sz w:val="24"/>
          <w:szCs w:val="24"/>
        </w:rPr>
      </w:pPr>
    </w:p>
    <w:p w14:paraId="6B27450E" w14:textId="0FEE74F1" w:rsidR="00952BAF" w:rsidRPr="009F7569" w:rsidRDefault="00952BAF" w:rsidP="00392E47">
      <w:pPr>
        <w:shd w:val="clear" w:color="auto" w:fill="FFFFFF"/>
        <w:spacing w:line="360" w:lineRule="auto"/>
        <w:jc w:val="both"/>
        <w:textAlignment w:val="baseline"/>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A partir de que se dio a conocer el proyecto</w:t>
      </w:r>
      <w:r w:rsidR="009A37FF" w:rsidRPr="009F7569">
        <w:rPr>
          <w:rFonts w:ascii="Century Gothic" w:hAnsi="Century Gothic" w:cs="Arial"/>
          <w:color w:val="3B3B3B"/>
          <w:sz w:val="24"/>
          <w:szCs w:val="24"/>
          <w:shd w:val="clear" w:color="auto" w:fill="FFFFFF"/>
        </w:rPr>
        <w:t xml:space="preserve"> de la Plataforma Centinela</w:t>
      </w:r>
      <w:r w:rsidRPr="009F7569">
        <w:rPr>
          <w:rFonts w:ascii="Century Gothic" w:hAnsi="Century Gothic" w:cs="Arial"/>
          <w:color w:val="3B3B3B"/>
          <w:sz w:val="24"/>
          <w:szCs w:val="24"/>
          <w:shd w:val="clear" w:color="auto" w:fill="FFFFFF"/>
        </w:rPr>
        <w:t>, la empresa</w:t>
      </w:r>
      <w:r w:rsidR="009A37FF" w:rsidRPr="009F7569">
        <w:rPr>
          <w:rFonts w:ascii="Century Gothic" w:hAnsi="Century Gothic" w:cs="Arial"/>
          <w:color w:val="3B3B3B"/>
          <w:sz w:val="24"/>
          <w:szCs w:val="24"/>
          <w:shd w:val="clear" w:color="auto" w:fill="FFFFFF"/>
        </w:rPr>
        <w:t xml:space="preserve"> a la que se le adjudicó el contrato</w:t>
      </w:r>
      <w:r w:rsidRPr="009F7569">
        <w:rPr>
          <w:rFonts w:ascii="Century Gothic" w:hAnsi="Century Gothic" w:cs="Arial"/>
          <w:color w:val="3B3B3B"/>
          <w:sz w:val="24"/>
          <w:szCs w:val="24"/>
          <w:shd w:val="clear" w:color="auto" w:fill="FFFFFF"/>
        </w:rPr>
        <w:t xml:space="preserve"> y el </w:t>
      </w:r>
      <w:r w:rsidR="009A37FF" w:rsidRPr="009F7569">
        <w:rPr>
          <w:rFonts w:ascii="Century Gothic" w:hAnsi="Century Gothic" w:cs="Arial"/>
          <w:color w:val="3B3B3B"/>
          <w:sz w:val="24"/>
          <w:szCs w:val="24"/>
          <w:shd w:val="clear" w:color="auto" w:fill="FFFFFF"/>
        </w:rPr>
        <w:t xml:space="preserve">alto </w:t>
      </w:r>
      <w:r w:rsidRPr="009F7569">
        <w:rPr>
          <w:rFonts w:ascii="Century Gothic" w:hAnsi="Century Gothic" w:cs="Arial"/>
          <w:color w:val="3B3B3B"/>
          <w:sz w:val="24"/>
          <w:szCs w:val="24"/>
          <w:shd w:val="clear" w:color="auto" w:fill="FFFFFF"/>
        </w:rPr>
        <w:t>costo, esta fracción parlamentaria, así como la ciudadanía en general h</w:t>
      </w:r>
      <w:r w:rsidR="009A37FF" w:rsidRPr="009F7569">
        <w:rPr>
          <w:rFonts w:ascii="Century Gothic" w:hAnsi="Century Gothic" w:cs="Arial"/>
          <w:color w:val="3B3B3B"/>
          <w:sz w:val="24"/>
          <w:szCs w:val="24"/>
          <w:shd w:val="clear" w:color="auto" w:fill="FFFFFF"/>
        </w:rPr>
        <w:t>emos</w:t>
      </w:r>
      <w:r w:rsidRPr="009F7569">
        <w:rPr>
          <w:rFonts w:ascii="Century Gothic" w:hAnsi="Century Gothic" w:cs="Arial"/>
          <w:color w:val="3B3B3B"/>
          <w:sz w:val="24"/>
          <w:szCs w:val="24"/>
          <w:shd w:val="clear" w:color="auto" w:fill="FFFFFF"/>
        </w:rPr>
        <w:t xml:space="preserve"> intentado obtener mayores datos al respecto; se desea conocer </w:t>
      </w:r>
      <w:r w:rsidRPr="009F7569">
        <w:rPr>
          <w:rFonts w:ascii="Century Gothic" w:hAnsi="Century Gothic"/>
          <w:color w:val="222222"/>
          <w:sz w:val="24"/>
          <w:szCs w:val="24"/>
          <w:shd w:val="clear" w:color="auto" w:fill="FFFFFF"/>
        </w:rPr>
        <w:t>el contrato, el acta de adjudicación, la justificación para la adjudicación directa, y en general todos los datos que menciona el artículo 77 de la Ley Estatal de Transparencia</w:t>
      </w:r>
      <w:r w:rsidRPr="009F7569">
        <w:rPr>
          <w:rFonts w:ascii="Century Gothic" w:hAnsi="Century Gothic" w:cs="Arial"/>
          <w:color w:val="3B3B3B"/>
          <w:sz w:val="24"/>
          <w:szCs w:val="24"/>
          <w:shd w:val="clear" w:color="auto" w:fill="FFFFFF"/>
        </w:rPr>
        <w:t xml:space="preserve">, sin éxito alguno. Urge conocer por qué no se llevó a cabo una licitación pública y bajo que fundamento se otorgó dicha adjudicación. </w:t>
      </w:r>
    </w:p>
    <w:p w14:paraId="03E2EA31" w14:textId="333F1DE9" w:rsidR="00952BAF" w:rsidRPr="009F7569" w:rsidRDefault="00952BAF" w:rsidP="00392E47">
      <w:pPr>
        <w:shd w:val="clear" w:color="auto" w:fill="FFFFFF"/>
        <w:spacing w:line="360" w:lineRule="auto"/>
        <w:jc w:val="both"/>
        <w:textAlignment w:val="baseline"/>
        <w:rPr>
          <w:rFonts w:ascii="Century Gothic" w:hAnsi="Century Gothic" w:cs="Arial"/>
          <w:color w:val="3B3B3B"/>
          <w:sz w:val="24"/>
          <w:szCs w:val="24"/>
          <w:shd w:val="clear" w:color="auto" w:fill="FFFFFF"/>
        </w:rPr>
      </w:pPr>
    </w:p>
    <w:p w14:paraId="0B2C385A" w14:textId="77777777" w:rsidR="00952BAF" w:rsidRPr="009F7569" w:rsidRDefault="00952BAF" w:rsidP="00952BAF">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La Ley de Adquisiciones, Arrendamientos y Contratación de Servicios del Estado de Chihuahua, en su artículo 40 establece que:</w:t>
      </w:r>
    </w:p>
    <w:p w14:paraId="3A7A8300" w14:textId="77777777" w:rsidR="00952BAF" w:rsidRPr="009F7569" w:rsidRDefault="00952BAF" w:rsidP="00952BAF">
      <w:pPr>
        <w:spacing w:after="120" w:line="360" w:lineRule="auto"/>
        <w:ind w:left="708"/>
        <w:jc w:val="both"/>
        <w:rPr>
          <w:rFonts w:ascii="Century Gothic" w:hAnsi="Century Gothic"/>
          <w:i/>
          <w:iCs/>
          <w:sz w:val="24"/>
          <w:szCs w:val="24"/>
        </w:rPr>
      </w:pPr>
      <w:r w:rsidRPr="009F7569">
        <w:rPr>
          <w:rFonts w:ascii="Century Gothic" w:hAnsi="Century Gothic" w:cs="Arial"/>
          <w:i/>
          <w:iCs/>
          <w:color w:val="3B3B3B"/>
          <w:sz w:val="24"/>
          <w:szCs w:val="24"/>
          <w:shd w:val="clear" w:color="auto" w:fill="FFFFFF"/>
        </w:rPr>
        <w:lastRenderedPageBreak/>
        <w:t>Las adquisiciones, arrendamientos y prestación de servicios que contraten los entes públicos, por regla</w:t>
      </w:r>
      <w:r w:rsidRPr="009F7569">
        <w:rPr>
          <w:i/>
          <w:iCs/>
          <w:sz w:val="24"/>
          <w:szCs w:val="24"/>
        </w:rPr>
        <w:t xml:space="preserve"> </w:t>
      </w:r>
      <w:r w:rsidRPr="009F7569">
        <w:rPr>
          <w:rFonts w:ascii="Century Gothic" w:hAnsi="Century Gothic"/>
          <w:i/>
          <w:iCs/>
          <w:sz w:val="24"/>
          <w:szCs w:val="24"/>
        </w:rPr>
        <w:t xml:space="preserve">general, se adjudicarán a través de licitaciones mediante convocatoria pública para que libremente se presenten propuestas en sobres físicos cerrados o medios electrónicos, que serán abiertos públicamente, a fin de asegurar al Estado las mejores condiciones disponibles en cuanto a precio, calidad, financiamiento, oportunidad y demás circunstancias pertinentes, de acuerdo a lo establecido en la presente Ley. </w:t>
      </w:r>
    </w:p>
    <w:p w14:paraId="09007A95" w14:textId="77777777" w:rsidR="00952BAF" w:rsidRPr="009F7569" w:rsidRDefault="00952BAF" w:rsidP="00952BAF">
      <w:pPr>
        <w:spacing w:after="120" w:line="360" w:lineRule="auto"/>
        <w:ind w:left="708"/>
        <w:jc w:val="both"/>
        <w:rPr>
          <w:rFonts w:ascii="Century Gothic" w:hAnsi="Century Gothic"/>
          <w:i/>
          <w:iCs/>
          <w:sz w:val="24"/>
          <w:szCs w:val="24"/>
        </w:rPr>
      </w:pPr>
      <w:r w:rsidRPr="009F7569">
        <w:rPr>
          <w:rFonts w:ascii="Century Gothic" w:hAnsi="Century Gothic"/>
          <w:i/>
          <w:iCs/>
          <w:sz w:val="24"/>
          <w:szCs w:val="24"/>
        </w:rPr>
        <w:t xml:space="preserve">Cuando las licitaciones a que hace referencia el párrafo anterior no sean idóneas para asegurar dichas condiciones, la presente Ley y su Reglamento establecerán las bases, procedimientos, reglas, requisitos y demás elementos para acreditar la economía, eficacia, eficiencia, imparcialidad y honradez que aseguren las mejores condiciones para el Estado. </w:t>
      </w:r>
    </w:p>
    <w:p w14:paraId="726B68F6" w14:textId="77777777" w:rsidR="00952BAF" w:rsidRPr="009F7569" w:rsidRDefault="00952BAF" w:rsidP="00952BAF">
      <w:pPr>
        <w:spacing w:after="120" w:line="360" w:lineRule="auto"/>
        <w:ind w:left="708"/>
        <w:jc w:val="both"/>
        <w:rPr>
          <w:rFonts w:ascii="Century Gothic" w:hAnsi="Century Gothic" w:cs="Arial"/>
          <w:i/>
          <w:iCs/>
          <w:color w:val="3B3B3B"/>
          <w:sz w:val="24"/>
          <w:szCs w:val="24"/>
          <w:shd w:val="clear" w:color="auto" w:fill="FFFFFF"/>
        </w:rPr>
      </w:pPr>
      <w:r w:rsidRPr="009F7569">
        <w:rPr>
          <w:rFonts w:ascii="Century Gothic" w:hAnsi="Century Gothic"/>
          <w:i/>
          <w:iCs/>
          <w:sz w:val="24"/>
          <w:szCs w:val="24"/>
        </w:rPr>
        <w:t xml:space="preserve">En las situaciones señaladas en el párrafo anterior los Entes Públicos podrán contratar adquisiciones, arrendamientos y servicios mediante los siguientes procedimientos: </w:t>
      </w:r>
    </w:p>
    <w:p w14:paraId="1DA6A679" w14:textId="77777777" w:rsidR="00952BAF" w:rsidRPr="009F7569" w:rsidRDefault="00952BAF" w:rsidP="00952BAF">
      <w:pPr>
        <w:pStyle w:val="Prrafodelista"/>
        <w:numPr>
          <w:ilvl w:val="0"/>
          <w:numId w:val="3"/>
        </w:numPr>
        <w:spacing w:after="120" w:line="360" w:lineRule="auto"/>
        <w:jc w:val="both"/>
        <w:rPr>
          <w:rFonts w:ascii="Century Gothic" w:hAnsi="Century Gothic" w:cs="Arial"/>
          <w:i/>
          <w:iCs/>
          <w:color w:val="3B3B3B"/>
          <w:sz w:val="24"/>
          <w:szCs w:val="24"/>
          <w:shd w:val="clear" w:color="auto" w:fill="FFFFFF"/>
        </w:rPr>
      </w:pPr>
      <w:r w:rsidRPr="009F7569">
        <w:rPr>
          <w:rFonts w:ascii="Century Gothic" w:hAnsi="Century Gothic"/>
          <w:i/>
          <w:iCs/>
          <w:sz w:val="24"/>
          <w:szCs w:val="24"/>
        </w:rPr>
        <w:t xml:space="preserve">Invitación a cuando menos tres proveedores. </w:t>
      </w:r>
    </w:p>
    <w:p w14:paraId="1D4D223D" w14:textId="77777777" w:rsidR="00952BAF" w:rsidRPr="009F7569" w:rsidRDefault="00952BAF" w:rsidP="00952BAF">
      <w:pPr>
        <w:pStyle w:val="Prrafodelista"/>
        <w:numPr>
          <w:ilvl w:val="0"/>
          <w:numId w:val="3"/>
        </w:numPr>
        <w:spacing w:after="120" w:line="360" w:lineRule="auto"/>
        <w:jc w:val="both"/>
        <w:rPr>
          <w:rFonts w:ascii="Century Gothic" w:hAnsi="Century Gothic" w:cs="Arial"/>
          <w:i/>
          <w:iCs/>
          <w:color w:val="3B3B3B"/>
          <w:sz w:val="24"/>
          <w:szCs w:val="24"/>
          <w:shd w:val="clear" w:color="auto" w:fill="FFFFFF"/>
        </w:rPr>
      </w:pPr>
      <w:r w:rsidRPr="009F7569">
        <w:rPr>
          <w:rFonts w:ascii="Century Gothic" w:hAnsi="Century Gothic"/>
          <w:i/>
          <w:iCs/>
          <w:sz w:val="24"/>
          <w:szCs w:val="24"/>
        </w:rPr>
        <w:t>Adjudicación directa</w:t>
      </w:r>
    </w:p>
    <w:p w14:paraId="33272D11" w14:textId="77777777" w:rsidR="00952BAF" w:rsidRPr="009F7569" w:rsidRDefault="00952BAF" w:rsidP="00952BAF">
      <w:pPr>
        <w:spacing w:after="120" w:line="360" w:lineRule="auto"/>
        <w:jc w:val="both"/>
        <w:rPr>
          <w:rFonts w:ascii="Century Gothic" w:hAnsi="Century Gothic" w:cs="Arial"/>
          <w:color w:val="3B3B3B"/>
          <w:sz w:val="24"/>
          <w:szCs w:val="24"/>
          <w:shd w:val="clear" w:color="auto" w:fill="FFFFFF"/>
        </w:rPr>
      </w:pPr>
    </w:p>
    <w:p w14:paraId="00F8B3C8" w14:textId="77777777" w:rsidR="00952BAF" w:rsidRPr="009F7569" w:rsidRDefault="00952BAF" w:rsidP="00952BAF">
      <w:pPr>
        <w:spacing w:after="120" w:line="360" w:lineRule="auto"/>
        <w:jc w:val="both"/>
        <w:rPr>
          <w:rFonts w:ascii="Century Gothic" w:hAnsi="Century Gothic"/>
          <w:sz w:val="24"/>
          <w:szCs w:val="24"/>
        </w:rPr>
      </w:pPr>
      <w:r w:rsidRPr="009F7569">
        <w:rPr>
          <w:rFonts w:ascii="Century Gothic" w:hAnsi="Century Gothic" w:cs="Arial"/>
          <w:color w:val="3B3B3B"/>
          <w:sz w:val="24"/>
          <w:szCs w:val="24"/>
          <w:shd w:val="clear" w:color="auto" w:fill="FFFFFF"/>
        </w:rPr>
        <w:t>De igual manera, el artículo 72 menciona que e</w:t>
      </w:r>
      <w:r w:rsidRPr="009F7569">
        <w:rPr>
          <w:rFonts w:ascii="Century Gothic" w:hAnsi="Century Gothic"/>
          <w:sz w:val="24"/>
          <w:szCs w:val="24"/>
        </w:rPr>
        <w:t xml:space="preserve">n los supuestos que prevé el Capítulo correspondiente a las excepciones a la licitación pública, los entes públicos, bajo su responsabilidad y con aprobación del Comité correspondiente, podrán optar por no llevar a cabo el procedimiento de </w:t>
      </w:r>
      <w:r w:rsidRPr="009F7569">
        <w:rPr>
          <w:rFonts w:ascii="Century Gothic" w:hAnsi="Century Gothic"/>
          <w:sz w:val="24"/>
          <w:szCs w:val="24"/>
        </w:rPr>
        <w:lastRenderedPageBreak/>
        <w:t>licitación pública y celebrar contratos a través de los procedimientos de invitación a cuando menos tres proveedores o de adjudicación directa.</w:t>
      </w:r>
    </w:p>
    <w:p w14:paraId="6015A186" w14:textId="77777777" w:rsidR="00952BAF" w:rsidRPr="009F7569" w:rsidRDefault="00952BAF" w:rsidP="00952BAF">
      <w:pPr>
        <w:spacing w:after="120" w:line="360" w:lineRule="auto"/>
        <w:jc w:val="both"/>
        <w:rPr>
          <w:rFonts w:ascii="Century Gothic" w:hAnsi="Century Gothic"/>
          <w:sz w:val="24"/>
          <w:szCs w:val="24"/>
        </w:rPr>
      </w:pPr>
      <w:r w:rsidRPr="009F7569">
        <w:rPr>
          <w:rFonts w:ascii="Century Gothic" w:hAnsi="Century Gothic"/>
          <w:sz w:val="24"/>
          <w:szCs w:val="24"/>
        </w:rPr>
        <w:t>El artículo 73 establece los supuestos bajo los cuales se puede contratar</w:t>
      </w:r>
      <w:r w:rsidRPr="009F7569">
        <w:rPr>
          <w:sz w:val="24"/>
          <w:szCs w:val="24"/>
        </w:rPr>
        <w:t xml:space="preserve"> </w:t>
      </w:r>
      <w:r w:rsidRPr="009F7569">
        <w:rPr>
          <w:rFonts w:ascii="Century Gothic" w:hAnsi="Century Gothic"/>
          <w:sz w:val="24"/>
          <w:szCs w:val="24"/>
        </w:rPr>
        <w:t xml:space="preserve">a través de los procedimientos de invitación a cuando menos tres proveedores o de adjudicación directa por excepción. </w:t>
      </w:r>
    </w:p>
    <w:p w14:paraId="38E26F6B" w14:textId="7F1DCE03" w:rsidR="00952BAF" w:rsidRPr="009F7569" w:rsidRDefault="00952BAF" w:rsidP="00952BAF">
      <w:pPr>
        <w:spacing w:after="120" w:line="360" w:lineRule="auto"/>
        <w:jc w:val="both"/>
        <w:rPr>
          <w:rFonts w:ascii="Century Gothic" w:hAnsi="Century Gothic"/>
          <w:sz w:val="24"/>
          <w:szCs w:val="24"/>
        </w:rPr>
      </w:pPr>
      <w:r w:rsidRPr="009F7569">
        <w:rPr>
          <w:rFonts w:ascii="Century Gothic" w:hAnsi="Century Gothic"/>
          <w:sz w:val="24"/>
          <w:szCs w:val="24"/>
        </w:rPr>
        <w:t xml:space="preserve">Esta excepción debe fundamentarse y motivarse, asimismo se deben justificar las excepciones en criterios de economía, eficacia, eficiencia, imparcialidad, legalidad, honradez y transparencia que resulten procedentes para obtener las mejores condiciones para el Estado. El acreditamiento de los criterios en los que se funda, así como la justificación de las razones en las que se sustente el ejercicio de la excepción, deberán constar por escrito y ser firmados por la persona titular del área usuaria y del Área requirente de los bienes o servicios. </w:t>
      </w:r>
    </w:p>
    <w:p w14:paraId="5432F50B" w14:textId="61230719" w:rsidR="00B96C05" w:rsidRPr="009F7569" w:rsidRDefault="009A37FF" w:rsidP="00025B06">
      <w:pPr>
        <w:shd w:val="clear" w:color="auto" w:fill="FFFFFF"/>
        <w:spacing w:line="360" w:lineRule="auto"/>
        <w:jc w:val="both"/>
        <w:textAlignment w:val="baseline"/>
        <w:rPr>
          <w:rFonts w:ascii="Century Gothic" w:hAnsi="Century Gothic"/>
          <w:sz w:val="24"/>
          <w:szCs w:val="24"/>
        </w:rPr>
      </w:pPr>
      <w:r w:rsidRPr="009F7569">
        <w:rPr>
          <w:rFonts w:ascii="Century Gothic" w:hAnsi="Century Gothic"/>
          <w:sz w:val="24"/>
          <w:szCs w:val="24"/>
        </w:rPr>
        <w:t xml:space="preserve">Por otra parte, si bien es cierto que en razón a los motivos ya mencionados, </w:t>
      </w:r>
      <w:r w:rsidR="00E028D6" w:rsidRPr="009F7569">
        <w:rPr>
          <w:rFonts w:ascii="Century Gothic" w:hAnsi="Century Gothic"/>
          <w:sz w:val="24"/>
          <w:szCs w:val="24"/>
        </w:rPr>
        <w:t xml:space="preserve">la Secretaría cuenta con la posibilidad de clasificar cierta información como reservada, </w:t>
      </w:r>
      <w:r w:rsidRPr="009F7569">
        <w:rPr>
          <w:rFonts w:ascii="Century Gothic" w:hAnsi="Century Gothic"/>
          <w:sz w:val="24"/>
          <w:szCs w:val="24"/>
        </w:rPr>
        <w:t>l</w:t>
      </w:r>
      <w:r w:rsidR="00BC6406" w:rsidRPr="009F7569">
        <w:rPr>
          <w:rFonts w:ascii="Century Gothic" w:hAnsi="Century Gothic"/>
          <w:color w:val="333333"/>
          <w:sz w:val="24"/>
          <w:szCs w:val="24"/>
          <w:shd w:val="clear" w:color="auto" w:fill="FFFFFF"/>
        </w:rPr>
        <w:t xml:space="preserve">a Ley de Transparencia y Acceso a la Información Pública del Estado, establece en su </w:t>
      </w:r>
      <w:r w:rsidR="00DD0984" w:rsidRPr="009F7569">
        <w:rPr>
          <w:rFonts w:ascii="Century Gothic" w:hAnsi="Century Gothic"/>
          <w:color w:val="333333"/>
          <w:sz w:val="24"/>
          <w:szCs w:val="24"/>
          <w:shd w:val="clear" w:color="auto" w:fill="FFFFFF"/>
        </w:rPr>
        <w:t>artículo</w:t>
      </w:r>
      <w:r w:rsidR="00E22C9C" w:rsidRPr="009F7569">
        <w:rPr>
          <w:rFonts w:ascii="Century Gothic" w:hAnsi="Century Gothic"/>
          <w:color w:val="333333"/>
          <w:sz w:val="24"/>
          <w:szCs w:val="24"/>
          <w:shd w:val="clear" w:color="auto" w:fill="FFFFFF"/>
        </w:rPr>
        <w:t xml:space="preserve"> </w:t>
      </w:r>
      <w:r w:rsidR="00E22C9C" w:rsidRPr="009F7569">
        <w:rPr>
          <w:sz w:val="24"/>
          <w:szCs w:val="24"/>
        </w:rPr>
        <w:t xml:space="preserve">122 </w:t>
      </w:r>
      <w:r w:rsidR="00E22C9C" w:rsidRPr="009F7569">
        <w:rPr>
          <w:rFonts w:ascii="Century Gothic" w:hAnsi="Century Gothic"/>
          <w:sz w:val="24"/>
          <w:szCs w:val="24"/>
        </w:rPr>
        <w:t xml:space="preserve">que cuando un documento contenga partes o secciones reservadas o confidenciales, los Sujetos Obligados, para efectos de atender una solicitud de información, </w:t>
      </w:r>
      <w:r w:rsidR="00E22C9C" w:rsidRPr="009F7569">
        <w:rPr>
          <w:rFonts w:ascii="Century Gothic" w:hAnsi="Century Gothic"/>
          <w:b/>
          <w:bCs/>
          <w:sz w:val="24"/>
          <w:szCs w:val="24"/>
        </w:rPr>
        <w:t xml:space="preserve">deberán elaborar una versión pública </w:t>
      </w:r>
      <w:r w:rsidR="00E22C9C" w:rsidRPr="009F7569">
        <w:rPr>
          <w:rFonts w:ascii="Century Gothic" w:hAnsi="Century Gothic"/>
          <w:sz w:val="24"/>
          <w:szCs w:val="24"/>
        </w:rPr>
        <w:t xml:space="preserve">en la que se testen las partes o secciones clasificadas, indicando su contenido de manera genérica y fundando y motivando su clasificación. </w:t>
      </w:r>
    </w:p>
    <w:p w14:paraId="1B510D60" w14:textId="77777777" w:rsidR="00B96C05" w:rsidRPr="009F7569" w:rsidRDefault="00B96C05" w:rsidP="00025B06">
      <w:pPr>
        <w:shd w:val="clear" w:color="auto" w:fill="FFFFFF"/>
        <w:spacing w:line="360" w:lineRule="auto"/>
        <w:jc w:val="both"/>
        <w:textAlignment w:val="baseline"/>
        <w:rPr>
          <w:rFonts w:ascii="Century Gothic" w:hAnsi="Century Gothic"/>
          <w:sz w:val="24"/>
          <w:szCs w:val="24"/>
        </w:rPr>
      </w:pPr>
    </w:p>
    <w:p w14:paraId="04F2543C" w14:textId="32E5C261" w:rsidR="00525C06" w:rsidRPr="009F7569" w:rsidRDefault="000C0C88" w:rsidP="00525C06">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E</w:t>
      </w:r>
      <w:r w:rsidR="00525C06" w:rsidRPr="009F7569">
        <w:rPr>
          <w:rFonts w:ascii="Century Gothic" w:hAnsi="Century Gothic" w:cs="Arial"/>
          <w:color w:val="3B3B3B"/>
          <w:sz w:val="24"/>
          <w:szCs w:val="24"/>
          <w:shd w:val="clear" w:color="auto" w:fill="FFFFFF"/>
        </w:rPr>
        <w:t xml:space="preserve">l </w:t>
      </w:r>
      <w:r w:rsidRPr="009F7569">
        <w:rPr>
          <w:rFonts w:ascii="Century Gothic" w:hAnsi="Century Gothic" w:cs="Arial"/>
          <w:color w:val="3B3B3B"/>
          <w:sz w:val="24"/>
          <w:szCs w:val="24"/>
          <w:shd w:val="clear" w:color="auto" w:fill="FFFFFF"/>
        </w:rPr>
        <w:t xml:space="preserve">artículo 77 </w:t>
      </w:r>
      <w:r w:rsidR="00525C06" w:rsidRPr="009F7569">
        <w:rPr>
          <w:rFonts w:ascii="Century Gothic" w:hAnsi="Century Gothic" w:cs="Arial"/>
          <w:color w:val="3B3B3B"/>
          <w:sz w:val="24"/>
          <w:szCs w:val="24"/>
          <w:shd w:val="clear" w:color="auto" w:fill="FFFFFF"/>
        </w:rPr>
        <w:t>en su fracción XXVIII, inciso b)</w:t>
      </w:r>
      <w:r w:rsidRPr="009F7569">
        <w:rPr>
          <w:rFonts w:ascii="Century Gothic" w:hAnsi="Century Gothic" w:cs="Arial"/>
          <w:color w:val="3B3B3B"/>
          <w:sz w:val="24"/>
          <w:szCs w:val="24"/>
          <w:shd w:val="clear" w:color="auto" w:fill="FFFFFF"/>
        </w:rPr>
        <w:t xml:space="preserve"> establece</w:t>
      </w:r>
      <w:r w:rsidR="00525C06" w:rsidRPr="009F7569">
        <w:rPr>
          <w:rFonts w:ascii="Century Gothic" w:hAnsi="Century Gothic" w:cs="Arial"/>
          <w:color w:val="3B3B3B"/>
          <w:sz w:val="24"/>
          <w:szCs w:val="24"/>
          <w:shd w:val="clear" w:color="auto" w:fill="FFFFFF"/>
        </w:rPr>
        <w:t xml:space="preserve"> que </w:t>
      </w:r>
      <w:r w:rsidR="00525C06" w:rsidRPr="009F7569">
        <w:rPr>
          <w:rFonts w:ascii="Century Gothic" w:hAnsi="Century Gothic"/>
          <w:sz w:val="24"/>
          <w:szCs w:val="24"/>
        </w:rPr>
        <w:t xml:space="preserve">la información sobre los resultados de los procedimientos de adjudicación directa, </w:t>
      </w:r>
      <w:r w:rsidR="00525C06" w:rsidRPr="009F7569">
        <w:rPr>
          <w:rFonts w:ascii="Century Gothic" w:hAnsi="Century Gothic"/>
          <w:b/>
          <w:bCs/>
          <w:sz w:val="24"/>
          <w:szCs w:val="24"/>
        </w:rPr>
        <w:lastRenderedPageBreak/>
        <w:t>incluyendo la versión pública</w:t>
      </w:r>
      <w:r w:rsidR="00525C06" w:rsidRPr="009F7569">
        <w:rPr>
          <w:rFonts w:ascii="Century Gothic" w:hAnsi="Century Gothic"/>
          <w:sz w:val="24"/>
          <w:szCs w:val="24"/>
        </w:rPr>
        <w:t xml:space="preserve"> del expediente respectivo y de los contratos celebrados, deberá contener, por lo menos, lo siguiente: </w:t>
      </w:r>
    </w:p>
    <w:p w14:paraId="5F963FFC"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1) La propuesta enviada por el participante. </w:t>
      </w:r>
    </w:p>
    <w:p w14:paraId="22219D9C"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2) Los motivos y fundamentos legales aplicados para llevarla a cabo. </w:t>
      </w:r>
    </w:p>
    <w:p w14:paraId="7EA83532"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3) La autorización del ejercicio de la opción. </w:t>
      </w:r>
    </w:p>
    <w:p w14:paraId="160DC2F7" w14:textId="77777777" w:rsidR="00525C06" w:rsidRPr="009F7569" w:rsidRDefault="00525C06" w:rsidP="00525C06">
      <w:pPr>
        <w:spacing w:after="120" w:line="360" w:lineRule="auto"/>
        <w:ind w:left="708"/>
        <w:jc w:val="both"/>
        <w:rPr>
          <w:rFonts w:ascii="Century Gothic" w:hAnsi="Century Gothic"/>
          <w:sz w:val="24"/>
          <w:szCs w:val="24"/>
        </w:rPr>
      </w:pPr>
      <w:r w:rsidRPr="009F7569">
        <w:rPr>
          <w:rFonts w:ascii="Century Gothic" w:hAnsi="Century Gothic"/>
          <w:sz w:val="24"/>
          <w:szCs w:val="24"/>
        </w:rPr>
        <w:t xml:space="preserve">4) En su caso, las cotizaciones consideradas, especificando los nombres de los proveedores y los montos. </w:t>
      </w:r>
    </w:p>
    <w:p w14:paraId="28FD44B0"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5) El nombre de la persona física o moral adjudicada. </w:t>
      </w:r>
    </w:p>
    <w:p w14:paraId="1740EE4E" w14:textId="77777777" w:rsidR="00525C06" w:rsidRPr="009F7569" w:rsidRDefault="00525C06" w:rsidP="00525C06">
      <w:pPr>
        <w:spacing w:after="120" w:line="360" w:lineRule="auto"/>
        <w:ind w:left="708"/>
        <w:jc w:val="both"/>
        <w:rPr>
          <w:rFonts w:ascii="Century Gothic" w:hAnsi="Century Gothic"/>
          <w:sz w:val="24"/>
          <w:szCs w:val="24"/>
        </w:rPr>
      </w:pPr>
      <w:r w:rsidRPr="009F7569">
        <w:rPr>
          <w:rFonts w:ascii="Century Gothic" w:hAnsi="Century Gothic"/>
          <w:sz w:val="24"/>
          <w:szCs w:val="24"/>
        </w:rPr>
        <w:t xml:space="preserve">6) La unidad administrativa solicitante y la responsable de su ejecución. </w:t>
      </w:r>
    </w:p>
    <w:p w14:paraId="3102DC10" w14:textId="77777777" w:rsidR="00525C06" w:rsidRPr="009F7569" w:rsidRDefault="00525C06" w:rsidP="00525C06">
      <w:pPr>
        <w:spacing w:after="120" w:line="360" w:lineRule="auto"/>
        <w:ind w:left="708"/>
        <w:jc w:val="both"/>
        <w:rPr>
          <w:rFonts w:ascii="Century Gothic" w:hAnsi="Century Gothic"/>
          <w:sz w:val="24"/>
          <w:szCs w:val="24"/>
        </w:rPr>
      </w:pPr>
      <w:r w:rsidRPr="009F7569">
        <w:rPr>
          <w:rFonts w:ascii="Century Gothic" w:hAnsi="Century Gothic"/>
          <w:sz w:val="24"/>
          <w:szCs w:val="24"/>
        </w:rPr>
        <w:t xml:space="preserve">7) El número, fecha, el monto del contrato y el plazo de entrega o de ejecución de los servicios u obra. </w:t>
      </w:r>
    </w:p>
    <w:p w14:paraId="55C10E5B" w14:textId="77777777" w:rsidR="00525C06" w:rsidRPr="009F7569" w:rsidRDefault="00525C06" w:rsidP="00525C06">
      <w:pPr>
        <w:spacing w:after="120" w:line="360" w:lineRule="auto"/>
        <w:ind w:left="708"/>
        <w:jc w:val="both"/>
        <w:rPr>
          <w:rFonts w:ascii="Century Gothic" w:hAnsi="Century Gothic"/>
          <w:sz w:val="24"/>
          <w:szCs w:val="24"/>
        </w:rPr>
      </w:pPr>
      <w:r w:rsidRPr="009F7569">
        <w:rPr>
          <w:rFonts w:ascii="Century Gothic" w:hAnsi="Century Gothic"/>
          <w:sz w:val="24"/>
          <w:szCs w:val="24"/>
        </w:rPr>
        <w:t xml:space="preserve">8) Los mecanismos de vigilancia y supervisión, incluyendo, en su caso, los estudios de impacto urbano y ambiental, según corresponda. </w:t>
      </w:r>
    </w:p>
    <w:p w14:paraId="6A5089E7"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9) Los informes de avance sobre las obras o servicios contratados. </w:t>
      </w:r>
    </w:p>
    <w:p w14:paraId="2EC762BF" w14:textId="77777777" w:rsidR="00525C06" w:rsidRPr="009F7569" w:rsidRDefault="00525C06" w:rsidP="00525C06">
      <w:pPr>
        <w:spacing w:after="120" w:line="360" w:lineRule="auto"/>
        <w:ind w:firstLine="708"/>
        <w:jc w:val="both"/>
        <w:rPr>
          <w:rFonts w:ascii="Century Gothic" w:hAnsi="Century Gothic"/>
          <w:sz w:val="24"/>
          <w:szCs w:val="24"/>
        </w:rPr>
      </w:pPr>
      <w:r w:rsidRPr="009F7569">
        <w:rPr>
          <w:rFonts w:ascii="Century Gothic" w:hAnsi="Century Gothic"/>
          <w:sz w:val="24"/>
          <w:szCs w:val="24"/>
        </w:rPr>
        <w:t xml:space="preserve">10) El convenio de terminación. </w:t>
      </w:r>
    </w:p>
    <w:p w14:paraId="57C4D75F" w14:textId="0223EA5C" w:rsidR="00922A5A" w:rsidRPr="009F7569" w:rsidRDefault="00922A5A" w:rsidP="003A7B1D">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 xml:space="preserve">Se ha </w:t>
      </w:r>
      <w:r w:rsidR="00525C06" w:rsidRPr="009F7569">
        <w:rPr>
          <w:rFonts w:ascii="Century Gothic" w:hAnsi="Century Gothic" w:cs="Arial"/>
          <w:color w:val="3B3B3B"/>
          <w:sz w:val="24"/>
          <w:szCs w:val="24"/>
          <w:shd w:val="clear" w:color="auto" w:fill="FFFFFF"/>
        </w:rPr>
        <w:t>realizado la búsqueda de</w:t>
      </w:r>
      <w:r w:rsidR="00E028D6" w:rsidRPr="009F7569">
        <w:rPr>
          <w:rFonts w:ascii="Century Gothic" w:hAnsi="Century Gothic" w:cs="Arial"/>
          <w:color w:val="3B3B3B"/>
          <w:sz w:val="24"/>
          <w:szCs w:val="24"/>
          <w:shd w:val="clear" w:color="auto" w:fill="FFFFFF"/>
        </w:rPr>
        <w:t xml:space="preserve"> datos generales del contrato </w:t>
      </w:r>
      <w:r w:rsidRPr="009F7569">
        <w:rPr>
          <w:rFonts w:ascii="Century Gothic" w:hAnsi="Century Gothic" w:cs="Arial"/>
          <w:color w:val="3B3B3B"/>
          <w:sz w:val="24"/>
          <w:szCs w:val="24"/>
          <w:shd w:val="clear" w:color="auto" w:fill="FFFFFF"/>
        </w:rPr>
        <w:t>en la Plataforma Nacional de Transparencia</w:t>
      </w:r>
      <w:r w:rsidR="007C50AE" w:rsidRPr="009F7569">
        <w:rPr>
          <w:rFonts w:ascii="Century Gothic" w:hAnsi="Century Gothic" w:cs="Arial"/>
          <w:color w:val="3B3B3B"/>
          <w:sz w:val="24"/>
          <w:szCs w:val="24"/>
          <w:shd w:val="clear" w:color="auto" w:fill="FFFFFF"/>
        </w:rPr>
        <w:t>, la cual por ley debe estar actualizada cada tres meses,</w:t>
      </w:r>
      <w:r w:rsidRPr="009F7569">
        <w:rPr>
          <w:rFonts w:ascii="Century Gothic" w:hAnsi="Century Gothic" w:cs="Arial"/>
          <w:color w:val="3B3B3B"/>
          <w:sz w:val="24"/>
          <w:szCs w:val="24"/>
          <w:shd w:val="clear" w:color="auto" w:fill="FFFFFF"/>
        </w:rPr>
        <w:t xml:space="preserve"> y se han generado solicitudes de información directamente a la Secretaría de Seguridad Pública, sin obtener respuesta</w:t>
      </w:r>
      <w:r w:rsidR="007C50AE" w:rsidRPr="009F7569">
        <w:rPr>
          <w:rFonts w:ascii="Century Gothic" w:hAnsi="Century Gothic" w:cs="Arial"/>
          <w:color w:val="3B3B3B"/>
          <w:sz w:val="24"/>
          <w:szCs w:val="24"/>
          <w:shd w:val="clear" w:color="auto" w:fill="FFFFFF"/>
        </w:rPr>
        <w:t xml:space="preserve"> o recibi</w:t>
      </w:r>
      <w:r w:rsidR="00D3004E" w:rsidRPr="009F7569">
        <w:rPr>
          <w:rFonts w:ascii="Century Gothic" w:hAnsi="Century Gothic" w:cs="Arial"/>
          <w:color w:val="3B3B3B"/>
          <w:sz w:val="24"/>
          <w:szCs w:val="24"/>
          <w:shd w:val="clear" w:color="auto" w:fill="FFFFFF"/>
        </w:rPr>
        <w:t>endo</w:t>
      </w:r>
      <w:r w:rsidR="007C50AE" w:rsidRPr="009F7569">
        <w:rPr>
          <w:rFonts w:ascii="Century Gothic" w:hAnsi="Century Gothic" w:cs="Arial"/>
          <w:color w:val="3B3B3B"/>
          <w:sz w:val="24"/>
          <w:szCs w:val="24"/>
          <w:shd w:val="clear" w:color="auto" w:fill="FFFFFF"/>
        </w:rPr>
        <w:t xml:space="preserve"> puras evasivas</w:t>
      </w:r>
      <w:r w:rsidRPr="009F7569">
        <w:rPr>
          <w:rFonts w:ascii="Century Gothic" w:hAnsi="Century Gothic" w:cs="Arial"/>
          <w:color w:val="3B3B3B"/>
          <w:sz w:val="24"/>
          <w:szCs w:val="24"/>
          <w:shd w:val="clear" w:color="auto" w:fill="FFFFFF"/>
        </w:rPr>
        <w:t>.</w:t>
      </w:r>
    </w:p>
    <w:p w14:paraId="36E27C0D" w14:textId="284ACEAB" w:rsidR="00AD22FA" w:rsidRPr="009F7569" w:rsidRDefault="00AD22FA" w:rsidP="003A7B1D">
      <w:pPr>
        <w:spacing w:after="120" w:line="360" w:lineRule="auto"/>
        <w:jc w:val="both"/>
        <w:rPr>
          <w:rFonts w:ascii="Century Gothic" w:hAnsi="Century Gothic" w:cs="Arial"/>
          <w:color w:val="3B3B3B"/>
          <w:sz w:val="24"/>
          <w:szCs w:val="24"/>
          <w:shd w:val="clear" w:color="auto" w:fill="FFFFFF"/>
        </w:rPr>
      </w:pPr>
      <w:r w:rsidRPr="009F7569">
        <w:rPr>
          <w:rFonts w:ascii="Century Gothic" w:hAnsi="Century Gothic" w:cs="Arial"/>
          <w:color w:val="3B3B3B"/>
          <w:sz w:val="24"/>
          <w:szCs w:val="24"/>
          <w:shd w:val="clear" w:color="auto" w:fill="FFFFFF"/>
        </w:rPr>
        <w:t xml:space="preserve">Es claro que los datos generales del contrato, como su procedimiento de adjudicación, el objeto del mismo, fecha de firma, actas del comité de </w:t>
      </w:r>
      <w:r w:rsidRPr="009F7569">
        <w:rPr>
          <w:rFonts w:ascii="Century Gothic" w:hAnsi="Century Gothic" w:cs="Arial"/>
          <w:color w:val="3B3B3B"/>
          <w:sz w:val="24"/>
          <w:szCs w:val="24"/>
          <w:shd w:val="clear" w:color="auto" w:fill="FFFFFF"/>
        </w:rPr>
        <w:lastRenderedPageBreak/>
        <w:t xml:space="preserve">adquisiciones, no ponen en riesgo la vida ni la seguridad del Estado, al contrario genera un riesgo para todas y todos que no exista la transparencia y máxima publicidad.  </w:t>
      </w:r>
    </w:p>
    <w:p w14:paraId="7415B4FD" w14:textId="20312CAF" w:rsidR="00905A55" w:rsidRPr="009F7569" w:rsidRDefault="00077623" w:rsidP="003A7B1D">
      <w:pPr>
        <w:spacing w:after="120" w:line="360" w:lineRule="auto"/>
        <w:jc w:val="both"/>
        <w:rPr>
          <w:rFonts w:ascii="Century Gothic" w:hAnsi="Century Gothic"/>
          <w:sz w:val="24"/>
          <w:szCs w:val="24"/>
        </w:rPr>
      </w:pPr>
      <w:r w:rsidRPr="009F7569">
        <w:rPr>
          <w:rFonts w:ascii="Century Gothic" w:hAnsi="Century Gothic"/>
          <w:sz w:val="24"/>
          <w:szCs w:val="24"/>
        </w:rPr>
        <w:t>A pesar de que el artículo 78 de dicha Ley establece que El Organismo Garante verificará que los Sujetos Obligados publiquen en sus portales de internet y, a la vez, en la Plataforma Nacional la información que les resulte aplicable</w:t>
      </w:r>
      <w:r w:rsidR="00D3004E" w:rsidRPr="009F7569">
        <w:rPr>
          <w:rFonts w:ascii="Century Gothic" w:hAnsi="Century Gothic"/>
          <w:sz w:val="24"/>
          <w:szCs w:val="24"/>
        </w:rPr>
        <w:t xml:space="preserve">, dicho procedimiento se encuentra en la opacidad. </w:t>
      </w:r>
    </w:p>
    <w:p w14:paraId="4B5EDAEE" w14:textId="20646251" w:rsidR="00BF4707" w:rsidRPr="009F7569" w:rsidRDefault="000C0C88" w:rsidP="00E028D6">
      <w:pPr>
        <w:spacing w:after="120" w:line="360" w:lineRule="auto"/>
        <w:jc w:val="both"/>
        <w:rPr>
          <w:rFonts w:ascii="Century Gothic" w:hAnsi="Century Gothic"/>
          <w:sz w:val="24"/>
          <w:szCs w:val="24"/>
        </w:rPr>
      </w:pPr>
      <w:r w:rsidRPr="009F7569">
        <w:rPr>
          <w:rFonts w:ascii="Century Gothic" w:hAnsi="Century Gothic"/>
          <w:sz w:val="24"/>
          <w:szCs w:val="24"/>
        </w:rPr>
        <w:t xml:space="preserve">Es </w:t>
      </w:r>
      <w:r w:rsidR="006E2712" w:rsidRPr="009F7569">
        <w:rPr>
          <w:rFonts w:ascii="Century Gothic" w:hAnsi="Century Gothic"/>
          <w:sz w:val="24"/>
          <w:szCs w:val="24"/>
        </w:rPr>
        <w:t>por todo lo anterior</w:t>
      </w:r>
      <w:r w:rsidRPr="009F7569">
        <w:rPr>
          <w:rFonts w:ascii="Century Gothic" w:hAnsi="Century Gothic"/>
          <w:sz w:val="24"/>
          <w:szCs w:val="24"/>
        </w:rPr>
        <w:t xml:space="preserve">, </w:t>
      </w:r>
      <w:r w:rsidR="00BF4707" w:rsidRPr="009F7569">
        <w:rPr>
          <w:rFonts w:ascii="Century Gothic" w:hAnsi="Century Gothic"/>
          <w:sz w:val="24"/>
          <w:szCs w:val="24"/>
        </w:rPr>
        <w:t>y con la finalidad de vigilar los recursos del Estado,</w:t>
      </w:r>
      <w:r w:rsidR="003D064B" w:rsidRPr="009F7569">
        <w:rPr>
          <w:rFonts w:ascii="Century Gothic" w:hAnsi="Century Gothic"/>
          <w:sz w:val="24"/>
          <w:szCs w:val="24"/>
        </w:rPr>
        <w:t xml:space="preserve"> y asegurar que dicho contrato se llevó a cabo de conformidad a lo que establece la Ley de Adquisiciones, Arrendamientos y Contratación de Servicios del Estado de Chihuahua</w:t>
      </w:r>
      <w:r w:rsidR="00E028D6" w:rsidRPr="009F7569">
        <w:rPr>
          <w:rFonts w:ascii="Century Gothic" w:hAnsi="Century Gothic"/>
          <w:sz w:val="24"/>
          <w:szCs w:val="24"/>
        </w:rPr>
        <w:t>,</w:t>
      </w:r>
      <w:r w:rsidR="00BF4707" w:rsidRPr="009F7569">
        <w:rPr>
          <w:rFonts w:ascii="Century Gothic" w:hAnsi="Century Gothic"/>
          <w:sz w:val="24"/>
          <w:szCs w:val="24"/>
        </w:rPr>
        <w:t xml:space="preserve"> </w:t>
      </w:r>
      <w:r w:rsidR="006E2712" w:rsidRPr="009F7569">
        <w:rPr>
          <w:rFonts w:ascii="Century Gothic" w:hAnsi="Century Gothic"/>
          <w:sz w:val="24"/>
          <w:szCs w:val="24"/>
        </w:rPr>
        <w:t xml:space="preserve">que </w:t>
      </w:r>
      <w:r w:rsidRPr="009F7569">
        <w:rPr>
          <w:rFonts w:ascii="Century Gothic" w:hAnsi="Century Gothic"/>
          <w:sz w:val="24"/>
          <w:szCs w:val="24"/>
        </w:rPr>
        <w:t xml:space="preserve">solicitamos a la Comisión de Fiscalización </w:t>
      </w:r>
      <w:r w:rsidR="006E2712" w:rsidRPr="009F7569">
        <w:rPr>
          <w:rFonts w:ascii="Century Gothic" w:hAnsi="Century Gothic"/>
          <w:sz w:val="24"/>
          <w:szCs w:val="24"/>
        </w:rPr>
        <w:t xml:space="preserve">que en uso de sus facultades establecidas en el artículo 114 fracción IV de la Ley Orgánica del Poder Legislativo del Estado de Chihuahua, </w:t>
      </w:r>
      <w:r w:rsidRPr="009F7569">
        <w:rPr>
          <w:rFonts w:ascii="Century Gothic" w:hAnsi="Century Gothic"/>
          <w:sz w:val="24"/>
          <w:szCs w:val="24"/>
        </w:rPr>
        <w:t xml:space="preserve">instruya a la Auditoría Superior del Estado para que </w:t>
      </w:r>
      <w:r w:rsidR="004A7D92" w:rsidRPr="009F7569">
        <w:rPr>
          <w:rFonts w:ascii="Century Gothic" w:hAnsi="Century Gothic"/>
          <w:sz w:val="24"/>
          <w:szCs w:val="24"/>
        </w:rPr>
        <w:t>in</w:t>
      </w:r>
      <w:r w:rsidR="006E2712" w:rsidRPr="009F7569">
        <w:rPr>
          <w:rFonts w:ascii="Century Gothic" w:hAnsi="Century Gothic"/>
          <w:sz w:val="24"/>
          <w:szCs w:val="24"/>
        </w:rPr>
        <w:t>tegre</w:t>
      </w:r>
      <w:r w:rsidR="004A7D92" w:rsidRPr="009F7569">
        <w:rPr>
          <w:rFonts w:ascii="Century Gothic" w:hAnsi="Century Gothic"/>
          <w:sz w:val="24"/>
          <w:szCs w:val="24"/>
        </w:rPr>
        <w:t xml:space="preserve"> en su Plan Anual de Auditoría</w:t>
      </w:r>
      <w:r w:rsidR="006E2712" w:rsidRPr="009F7569">
        <w:rPr>
          <w:rFonts w:ascii="Century Gothic" w:hAnsi="Century Gothic"/>
          <w:sz w:val="24"/>
          <w:szCs w:val="24"/>
        </w:rPr>
        <w:t>s</w:t>
      </w:r>
      <w:r w:rsidR="004A7D92" w:rsidRPr="009F7569">
        <w:rPr>
          <w:rFonts w:ascii="Century Gothic" w:hAnsi="Century Gothic"/>
          <w:sz w:val="24"/>
          <w:szCs w:val="24"/>
        </w:rPr>
        <w:t xml:space="preserve"> </w:t>
      </w:r>
      <w:r w:rsidR="006E2712" w:rsidRPr="009F7569">
        <w:rPr>
          <w:rFonts w:ascii="Century Gothic" w:hAnsi="Century Gothic"/>
          <w:sz w:val="24"/>
          <w:szCs w:val="24"/>
        </w:rPr>
        <w:t xml:space="preserve">la revisión de los contratos celebrados por el Gobierno del Estado con la empresa </w:t>
      </w:r>
      <w:proofErr w:type="spellStart"/>
      <w:r w:rsidR="006E2712" w:rsidRPr="009F7569">
        <w:rPr>
          <w:rFonts w:ascii="Century Gothic" w:hAnsi="Century Gothic"/>
          <w:sz w:val="24"/>
          <w:szCs w:val="24"/>
        </w:rPr>
        <w:t>SeguriTech</w:t>
      </w:r>
      <w:proofErr w:type="spellEnd"/>
      <w:r w:rsidR="006E2712" w:rsidRPr="009F7569">
        <w:rPr>
          <w:rFonts w:ascii="Century Gothic" w:hAnsi="Century Gothic"/>
          <w:sz w:val="24"/>
          <w:szCs w:val="24"/>
        </w:rPr>
        <w:t xml:space="preserve"> Privada S.A. de C.V.</w:t>
      </w:r>
      <w:r w:rsidR="00E028D6" w:rsidRPr="009F7569">
        <w:rPr>
          <w:rFonts w:ascii="Century Gothic" w:hAnsi="Century Gothic"/>
          <w:sz w:val="24"/>
          <w:szCs w:val="24"/>
        </w:rPr>
        <w:t xml:space="preserve">, pues no existe impedimento para que dicho organismo lleve a cabo la revisión correspondiente, a pesar de estar clasificada como reservada. </w:t>
      </w:r>
    </w:p>
    <w:p w14:paraId="30713514" w14:textId="020E0AF9" w:rsidR="00E028D6" w:rsidRPr="009F7569" w:rsidRDefault="00E028D6" w:rsidP="00E028D6">
      <w:pPr>
        <w:spacing w:after="120" w:line="360" w:lineRule="auto"/>
        <w:jc w:val="both"/>
        <w:rPr>
          <w:rFonts w:ascii="Century Gothic" w:hAnsi="Century Gothic"/>
          <w:sz w:val="24"/>
          <w:szCs w:val="24"/>
        </w:rPr>
      </w:pPr>
    </w:p>
    <w:p w14:paraId="54067542" w14:textId="02EF3C74" w:rsidR="00EC382C" w:rsidRPr="009F7569" w:rsidRDefault="00916341" w:rsidP="00EC382C">
      <w:pPr>
        <w:spacing w:line="480" w:lineRule="auto"/>
        <w:jc w:val="center"/>
        <w:rPr>
          <w:rFonts w:ascii="Century Gothic" w:hAnsi="Century Gothic"/>
          <w:b/>
          <w:sz w:val="24"/>
          <w:szCs w:val="24"/>
        </w:rPr>
      </w:pPr>
      <w:r>
        <w:rPr>
          <w:rFonts w:ascii="Century Gothic" w:hAnsi="Century Gothic"/>
          <w:b/>
          <w:sz w:val="24"/>
          <w:szCs w:val="24"/>
        </w:rPr>
        <w:t>PUNTO DE ACUERDO</w:t>
      </w:r>
    </w:p>
    <w:p w14:paraId="16CD5393" w14:textId="77777777" w:rsidR="00EC382C" w:rsidRPr="009F7569" w:rsidRDefault="00EC382C" w:rsidP="00EC382C">
      <w:pPr>
        <w:spacing w:line="480" w:lineRule="auto"/>
        <w:jc w:val="center"/>
        <w:rPr>
          <w:rFonts w:ascii="Century Gothic" w:hAnsi="Century Gothic"/>
          <w:b/>
          <w:sz w:val="24"/>
          <w:szCs w:val="24"/>
        </w:rPr>
      </w:pPr>
    </w:p>
    <w:p w14:paraId="4466A16E" w14:textId="15B974BC" w:rsidR="008D7C63" w:rsidRPr="009F7569" w:rsidRDefault="00EC382C" w:rsidP="008D7C63">
      <w:pPr>
        <w:spacing w:after="120" w:line="360" w:lineRule="auto"/>
        <w:jc w:val="both"/>
        <w:rPr>
          <w:rFonts w:ascii="Century Gothic" w:hAnsi="Century Gothic"/>
          <w:b/>
          <w:bCs/>
          <w:sz w:val="24"/>
          <w:szCs w:val="24"/>
        </w:rPr>
      </w:pPr>
      <w:r w:rsidRPr="009F7569">
        <w:rPr>
          <w:rFonts w:ascii="Century Gothic" w:hAnsi="Century Gothic"/>
          <w:b/>
          <w:sz w:val="24"/>
          <w:szCs w:val="24"/>
        </w:rPr>
        <w:t>ÚNICO.</w:t>
      </w:r>
      <w:r w:rsidRPr="009F7569">
        <w:rPr>
          <w:rFonts w:ascii="Century Gothic" w:hAnsi="Century Gothic"/>
          <w:sz w:val="24"/>
          <w:szCs w:val="24"/>
        </w:rPr>
        <w:t xml:space="preserve"> </w:t>
      </w:r>
      <w:r w:rsidR="00BF4707" w:rsidRPr="009F7569">
        <w:rPr>
          <w:rFonts w:ascii="Century Gothic" w:hAnsi="Century Gothic"/>
          <w:sz w:val="24"/>
          <w:szCs w:val="24"/>
        </w:rPr>
        <w:t>La Sexagésima S</w:t>
      </w:r>
      <w:r w:rsidR="00916341">
        <w:rPr>
          <w:rFonts w:ascii="Century Gothic" w:hAnsi="Century Gothic"/>
          <w:sz w:val="24"/>
          <w:szCs w:val="24"/>
        </w:rPr>
        <w:t>éptima</w:t>
      </w:r>
      <w:r w:rsidR="00BF4707" w:rsidRPr="009F7569">
        <w:rPr>
          <w:rFonts w:ascii="Century Gothic" w:hAnsi="Century Gothic"/>
          <w:sz w:val="24"/>
          <w:szCs w:val="24"/>
        </w:rPr>
        <w:t xml:space="preserve"> Legislatura del Honorable Congreso del Estado de Chihuahua </w:t>
      </w:r>
      <w:r w:rsidR="00C566BD" w:rsidRPr="009F7569">
        <w:rPr>
          <w:rFonts w:ascii="Arial" w:hAnsi="Arial" w:cs="Arial"/>
          <w:b/>
          <w:sz w:val="24"/>
          <w:szCs w:val="24"/>
        </w:rPr>
        <w:t>exhorta a la</w:t>
      </w:r>
      <w:r w:rsidR="00C566BD" w:rsidRPr="009F7569">
        <w:rPr>
          <w:rFonts w:ascii="Century Gothic" w:eastAsia="Century Gothic" w:hAnsi="Century Gothic" w:cs="Century Gothic"/>
          <w:sz w:val="24"/>
          <w:szCs w:val="24"/>
        </w:rPr>
        <w:t xml:space="preserve"> </w:t>
      </w:r>
      <w:r w:rsidR="00C566BD" w:rsidRPr="009F7569">
        <w:rPr>
          <w:rFonts w:ascii="Century Gothic" w:eastAsia="Century Gothic" w:hAnsi="Century Gothic" w:cs="Century Gothic"/>
          <w:b/>
          <w:bCs/>
          <w:sz w:val="24"/>
          <w:szCs w:val="24"/>
        </w:rPr>
        <w:t xml:space="preserve">Comisión de Fiscalización del H. Congreso del Estado de Chihuahua a fin de que proponga a la Auditoría Superior del Estado que se incorpore </w:t>
      </w:r>
      <w:r w:rsidR="00E14EE3" w:rsidRPr="009F7569">
        <w:rPr>
          <w:rFonts w:ascii="Century Gothic" w:eastAsia="Century Gothic" w:hAnsi="Century Gothic" w:cs="Century Gothic"/>
          <w:b/>
          <w:bCs/>
          <w:sz w:val="24"/>
          <w:szCs w:val="24"/>
        </w:rPr>
        <w:t xml:space="preserve">a la Secretaría de Seguridad Pública </w:t>
      </w:r>
      <w:r w:rsidR="00C566BD" w:rsidRPr="009F7569">
        <w:rPr>
          <w:rFonts w:ascii="Century Gothic" w:eastAsia="Century Gothic" w:hAnsi="Century Gothic" w:cs="Century Gothic"/>
          <w:b/>
          <w:bCs/>
          <w:sz w:val="24"/>
          <w:szCs w:val="24"/>
        </w:rPr>
        <w:t xml:space="preserve">dentro de su </w:t>
      </w:r>
      <w:r w:rsidR="00C566BD" w:rsidRPr="009F7569">
        <w:rPr>
          <w:rFonts w:ascii="Century Gothic" w:eastAsia="Century Gothic" w:hAnsi="Century Gothic" w:cs="Century Gothic"/>
          <w:b/>
          <w:bCs/>
          <w:sz w:val="24"/>
          <w:szCs w:val="24"/>
        </w:rPr>
        <w:lastRenderedPageBreak/>
        <w:t>P</w:t>
      </w:r>
      <w:r w:rsidR="003C0B4A">
        <w:rPr>
          <w:rFonts w:ascii="Century Gothic" w:eastAsia="Century Gothic" w:hAnsi="Century Gothic" w:cs="Century Gothic"/>
          <w:b/>
          <w:bCs/>
          <w:sz w:val="24"/>
          <w:szCs w:val="24"/>
        </w:rPr>
        <w:t>rograma</w:t>
      </w:r>
      <w:r w:rsidR="00C566BD" w:rsidRPr="009F7569">
        <w:rPr>
          <w:rFonts w:ascii="Century Gothic" w:eastAsia="Century Gothic" w:hAnsi="Century Gothic" w:cs="Century Gothic"/>
          <w:b/>
          <w:bCs/>
          <w:sz w:val="24"/>
          <w:szCs w:val="24"/>
        </w:rPr>
        <w:t xml:space="preserve"> Anual de Auditorías, y se </w:t>
      </w:r>
      <w:r w:rsidR="00160E2D">
        <w:rPr>
          <w:rFonts w:ascii="Century Gothic" w:eastAsia="Century Gothic" w:hAnsi="Century Gothic" w:cs="Century Gothic"/>
          <w:b/>
          <w:bCs/>
          <w:sz w:val="24"/>
          <w:szCs w:val="24"/>
        </w:rPr>
        <w:t xml:space="preserve">recomiende que se </w:t>
      </w:r>
      <w:r w:rsidR="00C566BD" w:rsidRPr="009F7569">
        <w:rPr>
          <w:rFonts w:ascii="Century Gothic" w:eastAsia="Century Gothic" w:hAnsi="Century Gothic" w:cs="Century Gothic"/>
          <w:b/>
          <w:bCs/>
          <w:sz w:val="24"/>
          <w:szCs w:val="24"/>
        </w:rPr>
        <w:t xml:space="preserve">revisen los contratos celebrados </w:t>
      </w:r>
      <w:r w:rsidR="00C566BD" w:rsidRPr="009F7569">
        <w:rPr>
          <w:rFonts w:ascii="Century Gothic" w:hAnsi="Century Gothic"/>
          <w:b/>
          <w:bCs/>
          <w:sz w:val="24"/>
          <w:szCs w:val="24"/>
        </w:rPr>
        <w:t xml:space="preserve">con la empresa </w:t>
      </w:r>
      <w:proofErr w:type="spellStart"/>
      <w:r w:rsidR="00C566BD" w:rsidRPr="009F7569">
        <w:rPr>
          <w:rFonts w:ascii="Century Gothic" w:hAnsi="Century Gothic"/>
          <w:b/>
          <w:bCs/>
          <w:sz w:val="24"/>
          <w:szCs w:val="24"/>
        </w:rPr>
        <w:t>SeguriTech</w:t>
      </w:r>
      <w:proofErr w:type="spellEnd"/>
      <w:r w:rsidR="00C566BD" w:rsidRPr="009F7569">
        <w:rPr>
          <w:rFonts w:ascii="Century Gothic" w:hAnsi="Century Gothic"/>
          <w:b/>
          <w:bCs/>
          <w:sz w:val="24"/>
          <w:szCs w:val="24"/>
        </w:rPr>
        <w:t xml:space="preserve"> Privada S.A. de C.V.</w:t>
      </w:r>
      <w:r w:rsidR="00C566BD" w:rsidRPr="009F7569">
        <w:rPr>
          <w:rFonts w:ascii="Century Gothic" w:eastAsia="Century Gothic" w:hAnsi="Century Gothic" w:cs="Century Gothic"/>
          <w:b/>
          <w:bCs/>
          <w:sz w:val="24"/>
          <w:szCs w:val="24"/>
        </w:rPr>
        <w:t>,</w:t>
      </w:r>
    </w:p>
    <w:p w14:paraId="2719C056" w14:textId="20F46D35" w:rsidR="00EC382C" w:rsidRPr="009F7569" w:rsidRDefault="00EC382C" w:rsidP="00EC382C">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rPr>
      </w:pPr>
      <w:r w:rsidRPr="009F7569">
        <w:rPr>
          <w:rFonts w:ascii="Century Gothic" w:eastAsia="Century Gothic" w:hAnsi="Century Gothic" w:cs="Century Gothic"/>
          <w:b/>
          <w:color w:val="000000"/>
          <w:sz w:val="24"/>
          <w:szCs w:val="24"/>
        </w:rPr>
        <w:t>T R A N S I T O R I O S:</w:t>
      </w:r>
    </w:p>
    <w:p w14:paraId="5C0E48F8" w14:textId="77777777" w:rsidR="008D7C63" w:rsidRPr="009F7569" w:rsidRDefault="008D7C63" w:rsidP="00EC382C">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rPr>
      </w:pPr>
    </w:p>
    <w:p w14:paraId="54FF8367" w14:textId="5495B06F" w:rsidR="00EC382C" w:rsidRPr="009F7569" w:rsidRDefault="00EC382C" w:rsidP="00EC382C">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9F7569">
        <w:rPr>
          <w:rFonts w:ascii="Century Gothic" w:eastAsia="Century Gothic" w:hAnsi="Century Gothic" w:cs="Century Gothic"/>
          <w:b/>
          <w:color w:val="000000"/>
          <w:sz w:val="24"/>
          <w:szCs w:val="24"/>
        </w:rPr>
        <w:t xml:space="preserve">ECONÓMICO. - </w:t>
      </w:r>
      <w:r w:rsidRPr="009F7569">
        <w:rPr>
          <w:rFonts w:ascii="Century Gothic" w:eastAsia="Century Gothic" w:hAnsi="Century Gothic" w:cs="Century Gothic"/>
          <w:color w:val="000000"/>
          <w:sz w:val="24"/>
          <w:szCs w:val="24"/>
        </w:rPr>
        <w:t xml:space="preserve">Aprobado que sea túrnese a la Secretaría de Asuntos Legislativos y Jurídicos para que elabore la minuta de </w:t>
      </w:r>
      <w:r w:rsidR="004D2049">
        <w:rPr>
          <w:rFonts w:ascii="Century Gothic" w:eastAsia="Century Gothic" w:hAnsi="Century Gothic" w:cs="Century Gothic"/>
          <w:color w:val="000000"/>
          <w:sz w:val="24"/>
          <w:szCs w:val="24"/>
        </w:rPr>
        <w:t>Punto de Acuerdo</w:t>
      </w:r>
      <w:r w:rsidRPr="009F7569">
        <w:rPr>
          <w:rFonts w:ascii="Century Gothic" w:eastAsia="Century Gothic" w:hAnsi="Century Gothic" w:cs="Century Gothic"/>
          <w:color w:val="000000"/>
          <w:sz w:val="24"/>
          <w:szCs w:val="24"/>
        </w:rPr>
        <w:t xml:space="preserve"> en los términos que deba publicarse.</w:t>
      </w:r>
    </w:p>
    <w:p w14:paraId="56A11301" w14:textId="77777777" w:rsidR="008D7C63" w:rsidRPr="009F7569" w:rsidRDefault="008D7C63" w:rsidP="00EC382C">
      <w:pPr>
        <w:pBdr>
          <w:top w:val="nil"/>
          <w:left w:val="nil"/>
          <w:bottom w:val="nil"/>
          <w:right w:val="nil"/>
          <w:between w:val="nil"/>
        </w:pBdr>
        <w:spacing w:after="192" w:line="480" w:lineRule="auto"/>
        <w:ind w:right="49"/>
        <w:jc w:val="both"/>
        <w:rPr>
          <w:rFonts w:ascii="Century Gothic" w:eastAsia="Century Gothic" w:hAnsi="Century Gothic" w:cs="Century Gothic"/>
          <w:bCs/>
          <w:color w:val="000000"/>
          <w:sz w:val="24"/>
          <w:szCs w:val="24"/>
        </w:rPr>
      </w:pPr>
    </w:p>
    <w:p w14:paraId="59ABC1FA" w14:textId="77777777" w:rsidR="00EC382C" w:rsidRPr="009F7569" w:rsidRDefault="00EC382C" w:rsidP="00EC382C">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A T E N T A M E N T E</w:t>
      </w:r>
    </w:p>
    <w:p w14:paraId="2D3D70F6" w14:textId="77777777" w:rsidR="00EC382C" w:rsidRPr="009F7569" w:rsidRDefault="00EC382C" w:rsidP="00EC382C">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292346C4" w14:textId="77777777" w:rsidR="00EC382C" w:rsidRPr="009F7569" w:rsidRDefault="00EC382C" w:rsidP="00EC382C">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LETICIA ORTEGA MÁYNEZ</w:t>
      </w:r>
    </w:p>
    <w:tbl>
      <w:tblPr>
        <w:tblW w:w="8828" w:type="dxa"/>
        <w:tblLayout w:type="fixed"/>
        <w:tblLook w:val="0400" w:firstRow="0" w:lastRow="0" w:firstColumn="0" w:lastColumn="0" w:noHBand="0" w:noVBand="1"/>
      </w:tblPr>
      <w:tblGrid>
        <w:gridCol w:w="4106"/>
        <w:gridCol w:w="4722"/>
      </w:tblGrid>
      <w:tr w:rsidR="00EC382C" w:rsidRPr="009F7569" w14:paraId="451AFFD6" w14:textId="77777777" w:rsidTr="00571E6A">
        <w:trPr>
          <w:trHeight w:val="1984"/>
        </w:trPr>
        <w:tc>
          <w:tcPr>
            <w:tcW w:w="4106" w:type="dxa"/>
            <w:vAlign w:val="bottom"/>
          </w:tcPr>
          <w:p w14:paraId="495E85EC" w14:textId="2945B216" w:rsidR="00EC382C" w:rsidRPr="009F7569" w:rsidRDefault="00EC382C" w:rsidP="00571E6A">
            <w:pPr>
              <w:spacing w:after="120" w:line="480" w:lineRule="auto"/>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EDIN CUAU</w:t>
            </w:r>
            <w:r w:rsidR="00916341">
              <w:rPr>
                <w:rFonts w:ascii="Century Gothic" w:eastAsia="Century Gothic" w:hAnsi="Century Gothic" w:cs="Century Gothic"/>
                <w:b/>
                <w:sz w:val="24"/>
                <w:szCs w:val="24"/>
              </w:rPr>
              <w:t>H</w:t>
            </w:r>
            <w:r w:rsidRPr="009F7569">
              <w:rPr>
                <w:rFonts w:ascii="Century Gothic" w:eastAsia="Century Gothic" w:hAnsi="Century Gothic" w:cs="Century Gothic"/>
                <w:b/>
                <w:sz w:val="24"/>
                <w:szCs w:val="24"/>
              </w:rPr>
              <w:t>TÉMOC ESTRADA</w:t>
            </w:r>
          </w:p>
        </w:tc>
        <w:tc>
          <w:tcPr>
            <w:tcW w:w="4722" w:type="dxa"/>
            <w:vAlign w:val="bottom"/>
          </w:tcPr>
          <w:p w14:paraId="4A449BD4"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ÓSCAR DANIEL AVITIA ARELLANES</w:t>
            </w:r>
          </w:p>
        </w:tc>
      </w:tr>
      <w:tr w:rsidR="00EC382C" w:rsidRPr="009F7569" w14:paraId="2093298B" w14:textId="77777777" w:rsidTr="00571E6A">
        <w:trPr>
          <w:trHeight w:val="1984"/>
        </w:trPr>
        <w:tc>
          <w:tcPr>
            <w:tcW w:w="4106" w:type="dxa"/>
            <w:vAlign w:val="bottom"/>
          </w:tcPr>
          <w:p w14:paraId="37D59D31"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ROSANA DÍAZ REYES</w:t>
            </w:r>
          </w:p>
        </w:tc>
        <w:tc>
          <w:tcPr>
            <w:tcW w:w="4722" w:type="dxa"/>
            <w:vAlign w:val="bottom"/>
          </w:tcPr>
          <w:p w14:paraId="18FC4296"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GUSTAVO DE LA ROSA HICKERSON</w:t>
            </w:r>
          </w:p>
        </w:tc>
      </w:tr>
      <w:tr w:rsidR="00EC382C" w:rsidRPr="009F7569" w14:paraId="46F157B4" w14:textId="77777777" w:rsidTr="00571E6A">
        <w:trPr>
          <w:trHeight w:val="1984"/>
        </w:trPr>
        <w:tc>
          <w:tcPr>
            <w:tcW w:w="4106" w:type="dxa"/>
            <w:vAlign w:val="bottom"/>
          </w:tcPr>
          <w:p w14:paraId="48AD840D"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lastRenderedPageBreak/>
              <w:t>DIP. MAGDALENA RENTERÍA PÉREZ</w:t>
            </w:r>
          </w:p>
        </w:tc>
        <w:tc>
          <w:tcPr>
            <w:tcW w:w="4722" w:type="dxa"/>
            <w:vAlign w:val="bottom"/>
          </w:tcPr>
          <w:p w14:paraId="43AFB64C"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MARÍA ANTONIETA PÉREZ REYES</w:t>
            </w:r>
          </w:p>
        </w:tc>
      </w:tr>
      <w:tr w:rsidR="00EC382C" w:rsidRPr="009F7569" w14:paraId="673732B5" w14:textId="77777777" w:rsidTr="00571E6A">
        <w:trPr>
          <w:trHeight w:val="1984"/>
        </w:trPr>
        <w:tc>
          <w:tcPr>
            <w:tcW w:w="4106" w:type="dxa"/>
            <w:vAlign w:val="bottom"/>
          </w:tcPr>
          <w:p w14:paraId="33BE62EB"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AMÉRICA GARCÍA SOTO</w:t>
            </w:r>
          </w:p>
        </w:tc>
        <w:tc>
          <w:tcPr>
            <w:tcW w:w="4722" w:type="dxa"/>
            <w:vAlign w:val="bottom"/>
          </w:tcPr>
          <w:p w14:paraId="29E592A3"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BENJAMÍN CARRERA CHÁVEZ</w:t>
            </w:r>
          </w:p>
        </w:tc>
      </w:tr>
      <w:tr w:rsidR="00EC382C" w:rsidRPr="009F7569" w14:paraId="50C5DCF8" w14:textId="77777777" w:rsidTr="00571E6A">
        <w:trPr>
          <w:trHeight w:val="1984"/>
        </w:trPr>
        <w:tc>
          <w:tcPr>
            <w:tcW w:w="4106" w:type="dxa"/>
            <w:vAlign w:val="bottom"/>
          </w:tcPr>
          <w:p w14:paraId="4BA12C22" w14:textId="77777777" w:rsidR="00EC382C" w:rsidRPr="009F7569" w:rsidRDefault="00EC382C" w:rsidP="00571E6A">
            <w:pPr>
              <w:spacing w:after="120" w:line="480" w:lineRule="auto"/>
              <w:rPr>
                <w:rFonts w:ascii="Century Gothic" w:eastAsia="Century Gothic" w:hAnsi="Century Gothic" w:cs="Century Gothic"/>
                <w:b/>
                <w:sz w:val="24"/>
                <w:szCs w:val="24"/>
              </w:rPr>
            </w:pPr>
          </w:p>
          <w:p w14:paraId="01270127" w14:textId="77777777" w:rsidR="00EC382C" w:rsidRPr="009F7569" w:rsidRDefault="00EC382C" w:rsidP="00571E6A">
            <w:pPr>
              <w:spacing w:after="120" w:line="480" w:lineRule="auto"/>
              <w:jc w:val="center"/>
              <w:rPr>
                <w:rFonts w:ascii="Century Gothic" w:eastAsia="Century Gothic" w:hAnsi="Century Gothic" w:cs="Century Gothic"/>
                <w:b/>
                <w:sz w:val="24"/>
                <w:szCs w:val="24"/>
              </w:rPr>
            </w:pPr>
            <w:r w:rsidRPr="009F7569">
              <w:rPr>
                <w:rFonts w:ascii="Century Gothic" w:eastAsia="Century Gothic" w:hAnsi="Century Gothic" w:cs="Century Gothic"/>
                <w:b/>
                <w:sz w:val="24"/>
                <w:szCs w:val="24"/>
              </w:rPr>
              <w:t>DIP. DAVID ÓSCAR CASTREJÓN RIVAS</w:t>
            </w:r>
          </w:p>
        </w:tc>
        <w:tc>
          <w:tcPr>
            <w:tcW w:w="4722" w:type="dxa"/>
          </w:tcPr>
          <w:p w14:paraId="5063DEC1" w14:textId="77777777" w:rsidR="00EC382C" w:rsidRPr="009F7569" w:rsidRDefault="00EC382C" w:rsidP="00571E6A">
            <w:pPr>
              <w:spacing w:after="120" w:line="480" w:lineRule="auto"/>
              <w:jc w:val="center"/>
              <w:rPr>
                <w:rFonts w:ascii="Century Gothic" w:eastAsia="Century Gothic" w:hAnsi="Century Gothic" w:cs="Century Gothic"/>
                <w:sz w:val="24"/>
                <w:szCs w:val="24"/>
              </w:rPr>
            </w:pPr>
          </w:p>
          <w:p w14:paraId="226564B0" w14:textId="77777777" w:rsidR="00EC382C" w:rsidRPr="009F7569" w:rsidRDefault="00EC382C" w:rsidP="00571E6A">
            <w:pPr>
              <w:spacing w:after="120" w:line="480" w:lineRule="auto"/>
              <w:jc w:val="center"/>
              <w:rPr>
                <w:rFonts w:ascii="Century Gothic" w:eastAsia="Century Gothic" w:hAnsi="Century Gothic" w:cs="Century Gothic"/>
                <w:sz w:val="24"/>
                <w:szCs w:val="24"/>
              </w:rPr>
            </w:pPr>
          </w:p>
          <w:p w14:paraId="26D47953" w14:textId="77777777" w:rsidR="00EC382C" w:rsidRPr="009F7569" w:rsidRDefault="00EC382C" w:rsidP="00571E6A">
            <w:pPr>
              <w:spacing w:after="120" w:line="480" w:lineRule="auto"/>
              <w:jc w:val="center"/>
              <w:rPr>
                <w:rFonts w:ascii="Century Gothic" w:eastAsia="Century Gothic" w:hAnsi="Century Gothic" w:cs="Century Gothic"/>
                <w:sz w:val="24"/>
                <w:szCs w:val="24"/>
              </w:rPr>
            </w:pPr>
          </w:p>
          <w:p w14:paraId="403F2045" w14:textId="77777777" w:rsidR="00EC382C" w:rsidRPr="009F7569" w:rsidRDefault="00EC382C" w:rsidP="00571E6A">
            <w:pPr>
              <w:spacing w:after="120" w:line="480" w:lineRule="auto"/>
              <w:jc w:val="center"/>
              <w:rPr>
                <w:rFonts w:ascii="Century Gothic" w:eastAsia="Century Gothic" w:hAnsi="Century Gothic" w:cs="Century Gothic"/>
                <w:b/>
                <w:bCs/>
                <w:sz w:val="24"/>
                <w:szCs w:val="24"/>
              </w:rPr>
            </w:pPr>
          </w:p>
        </w:tc>
      </w:tr>
    </w:tbl>
    <w:p w14:paraId="51BAF122" w14:textId="77777777" w:rsidR="00EC382C" w:rsidRPr="009F7569" w:rsidRDefault="00EC382C" w:rsidP="00EC382C">
      <w:pPr>
        <w:spacing w:after="120" w:line="480" w:lineRule="auto"/>
        <w:rPr>
          <w:rFonts w:ascii="Century Gothic" w:eastAsia="Century Gothic" w:hAnsi="Century Gothic" w:cs="Century Gothic"/>
          <w:b/>
          <w:sz w:val="24"/>
          <w:szCs w:val="24"/>
        </w:rPr>
      </w:pPr>
    </w:p>
    <w:p w14:paraId="558E22CB" w14:textId="77777777" w:rsidR="001D42EC" w:rsidRPr="009F7569" w:rsidRDefault="001D42EC">
      <w:pPr>
        <w:rPr>
          <w:sz w:val="24"/>
          <w:szCs w:val="24"/>
        </w:rPr>
      </w:pPr>
    </w:p>
    <w:sectPr w:rsidR="001D42EC" w:rsidRPr="009F7569">
      <w:headerReference w:type="default" r:id="rId12"/>
      <w:footerReference w:type="default" r:id="rId13"/>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3D6C" w14:textId="77777777" w:rsidR="006A0750" w:rsidRDefault="006A0750" w:rsidP="00EC382C">
      <w:r>
        <w:separator/>
      </w:r>
    </w:p>
  </w:endnote>
  <w:endnote w:type="continuationSeparator" w:id="0">
    <w:p w14:paraId="5B8E223A" w14:textId="77777777" w:rsidR="006A0750" w:rsidRDefault="006A0750" w:rsidP="00E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5A14" w14:textId="77777777" w:rsidR="00B05008" w:rsidRDefault="005A77E4">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DCB8111" w14:textId="77777777" w:rsidR="00B05008" w:rsidRDefault="00A3385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E7F6" w14:textId="77777777" w:rsidR="006A0750" w:rsidRDefault="006A0750" w:rsidP="00EC382C">
      <w:r>
        <w:separator/>
      </w:r>
    </w:p>
  </w:footnote>
  <w:footnote w:type="continuationSeparator" w:id="0">
    <w:p w14:paraId="7DB027C9" w14:textId="77777777" w:rsidR="006A0750" w:rsidRDefault="006A0750" w:rsidP="00EC382C">
      <w:r>
        <w:continuationSeparator/>
      </w:r>
    </w:p>
  </w:footnote>
  <w:footnote w:id="1">
    <w:p w14:paraId="39139D63" w14:textId="08FE958F" w:rsidR="001C6FB8" w:rsidRPr="00885652" w:rsidRDefault="001C6FB8" w:rsidP="00885652">
      <w:pPr>
        <w:pStyle w:val="Ttulo1"/>
        <w:shd w:val="clear" w:color="auto" w:fill="FFFFFF"/>
        <w:spacing w:before="0" w:beforeAutospacing="0" w:after="96" w:afterAutospacing="0"/>
        <w:textAlignment w:val="baseline"/>
        <w:rPr>
          <w:rFonts w:ascii="Century Gothic" w:hAnsi="Century Gothic"/>
          <w:b w:val="0"/>
          <w:bCs w:val="0"/>
          <w:sz w:val="20"/>
          <w:szCs w:val="20"/>
        </w:rPr>
      </w:pPr>
      <w:r w:rsidRPr="00885652">
        <w:rPr>
          <w:rStyle w:val="Refdenotaalpie"/>
          <w:rFonts w:ascii="Century Gothic" w:hAnsi="Century Gothic"/>
          <w:b w:val="0"/>
          <w:bCs w:val="0"/>
          <w:sz w:val="20"/>
          <w:szCs w:val="20"/>
        </w:rPr>
        <w:footnoteRef/>
      </w:r>
      <w:r w:rsidRPr="00885652">
        <w:rPr>
          <w:rFonts w:ascii="Century Gothic" w:hAnsi="Century Gothic"/>
          <w:b w:val="0"/>
          <w:bCs w:val="0"/>
          <w:sz w:val="20"/>
          <w:szCs w:val="20"/>
        </w:rPr>
        <w:t xml:space="preserve"> </w:t>
      </w:r>
      <w:r w:rsidR="00885652" w:rsidRPr="00885652">
        <w:rPr>
          <w:rFonts w:ascii="Century Gothic" w:hAnsi="Century Gothic"/>
          <w:b w:val="0"/>
          <w:bCs w:val="0"/>
          <w:sz w:val="20"/>
          <w:szCs w:val="20"/>
        </w:rPr>
        <w:t xml:space="preserve">ZonaFree, </w:t>
      </w:r>
      <w:r w:rsidR="00885652" w:rsidRPr="00885652">
        <w:rPr>
          <w:rFonts w:ascii="Century Gothic" w:hAnsi="Century Gothic"/>
          <w:b w:val="0"/>
          <w:bCs w:val="0"/>
          <w:i/>
          <w:iCs/>
          <w:color w:val="121212"/>
          <w:spacing w:val="-10"/>
          <w:sz w:val="20"/>
          <w:szCs w:val="20"/>
        </w:rPr>
        <w:t>La Torre Centinela, en manos de una empresa señalada por moches y cobrar sobreprecios.</w:t>
      </w:r>
      <w:r w:rsidR="00885652">
        <w:rPr>
          <w:rFonts w:ascii="Century Gothic" w:hAnsi="Century Gothic"/>
          <w:b w:val="0"/>
          <w:bCs w:val="0"/>
          <w:color w:val="121212"/>
          <w:spacing w:val="-10"/>
          <w:sz w:val="20"/>
          <w:szCs w:val="20"/>
        </w:rPr>
        <w:t xml:space="preserve">  </w:t>
      </w:r>
      <w:hyperlink r:id="rId1" w:anchor=":~:text=El%2025%20de%20marzo%20de,y%20funcionamiento%20de%20la%20Plataforma" w:history="1">
        <w:r w:rsidR="00885652" w:rsidRPr="00885652">
          <w:rPr>
            <w:rStyle w:val="Hipervnculo"/>
            <w:rFonts w:ascii="Century Gothic" w:hAnsi="Century Gothic"/>
            <w:b w:val="0"/>
            <w:bCs w:val="0"/>
            <w:sz w:val="20"/>
            <w:szCs w:val="20"/>
          </w:rPr>
          <w:t>https://zonafree.mx/2022/08/18/la-torre-centinela-en-manos-de-una-empresa-senalada-por-moches-y-cobrar-sobreprecios/#:~:text=El%2025%20de%20marzo%20de,y%20funcionamiento%20de%20la%20Plataforma</w:t>
        </w:r>
      </w:hyperlink>
    </w:p>
    <w:p w14:paraId="6AEB4453" w14:textId="77777777" w:rsidR="001C6FB8" w:rsidRPr="001C6FB8" w:rsidRDefault="001C6FB8">
      <w:pPr>
        <w:pStyle w:val="Textonotapie"/>
        <w:rPr>
          <w:lang w:val="es-MX"/>
        </w:rPr>
      </w:pPr>
    </w:p>
  </w:footnote>
  <w:footnote w:id="2">
    <w:p w14:paraId="1893865C" w14:textId="113C63CF" w:rsidR="00373655" w:rsidRDefault="00373655">
      <w:pPr>
        <w:pStyle w:val="Textonotapie"/>
      </w:pPr>
      <w:r>
        <w:rPr>
          <w:rStyle w:val="Refdenotaalpie"/>
        </w:rPr>
        <w:footnoteRef/>
      </w:r>
      <w:r>
        <w:t xml:space="preserve"> </w:t>
      </w:r>
      <w:r w:rsidR="00885652">
        <w:t xml:space="preserve">Norte Digital. Hacemos Periodismo. </w:t>
      </w:r>
      <w:r w:rsidR="00885652" w:rsidRPr="00885652">
        <w:rPr>
          <w:i/>
          <w:iCs/>
        </w:rPr>
        <w:t>Da Maru contrato de Torre Centinela a empresa con senialamientos de aplicar sobreprecios.</w:t>
      </w:r>
      <w:r w:rsidR="00885652">
        <w:t xml:space="preserve"> </w:t>
      </w:r>
      <w:hyperlink r:id="rId2" w:history="1">
        <w:r w:rsidR="00885652" w:rsidRPr="00397705">
          <w:rPr>
            <w:rStyle w:val="Hipervnculo"/>
          </w:rPr>
          <w:t>https://nortedigital.mx/da-maru-contrato-de-torre-centinela-a-empresa-con-senalamientos-de-aplicar-sobreprecios/</w:t>
        </w:r>
      </w:hyperlink>
    </w:p>
    <w:p w14:paraId="489DB2F7" w14:textId="77777777" w:rsidR="00373655" w:rsidRPr="00373655" w:rsidRDefault="00373655">
      <w:pPr>
        <w:pStyle w:val="Textonotapie"/>
        <w:rPr>
          <w:lang w:val="es-MX"/>
        </w:rPr>
      </w:pPr>
    </w:p>
  </w:footnote>
  <w:footnote w:id="3">
    <w:p w14:paraId="67747A25" w14:textId="11D6EA21" w:rsidR="000C0C88" w:rsidRDefault="000C0C88">
      <w:pPr>
        <w:pStyle w:val="Textonotapie"/>
        <w:rPr>
          <w:rStyle w:val="Hipervnculo"/>
        </w:rPr>
      </w:pPr>
      <w:r>
        <w:rPr>
          <w:rStyle w:val="Refdenotaalpie"/>
        </w:rPr>
        <w:footnoteRef/>
      </w:r>
      <w:r>
        <w:t xml:space="preserve"> </w:t>
      </w:r>
      <w:r w:rsidR="00885652">
        <w:t xml:space="preserve">Noroeste TV. Inseguridad: la mina de oro. </w:t>
      </w:r>
      <w:hyperlink r:id="rId3" w:anchor="fpstate=ive&amp;vld=cid:bf0adcc5,vid:1IljiQoTZuI" w:history="1">
        <w:r w:rsidR="00885652" w:rsidRPr="00397705">
          <w:rPr>
            <w:rStyle w:val="Hipervnculo"/>
          </w:rPr>
          <w:t>https://www.google.com/search?q=%E2%80%9CInseguridad%3A+La+mina+de+oro%E2%80%9D&amp;oq=%E2%80%9CInseguridad%3A+La+mina+de+oro%E2%80%9D&amp;aqs=chrome..69i57.378j0j15&amp;sourceid=chrome&amp;ie=UTF-8#fpstate=ive&amp;vld=cid:bf0adcc5,vid:1IljiQoTZuI</w:t>
        </w:r>
      </w:hyperlink>
    </w:p>
    <w:p w14:paraId="61E0ABB5" w14:textId="77777777" w:rsidR="000C0C88" w:rsidRPr="000C0C88" w:rsidRDefault="000C0C88">
      <w:pPr>
        <w:pStyle w:val="Textonotapie"/>
        <w:rPr>
          <w:lang w:val="es-MX"/>
        </w:rPr>
      </w:pPr>
    </w:p>
  </w:footnote>
  <w:footnote w:id="4">
    <w:p w14:paraId="3F0C4E6B" w14:textId="6AF767DE" w:rsidR="00BF25DE" w:rsidRPr="00BF25DE" w:rsidRDefault="00BF25DE">
      <w:pPr>
        <w:pStyle w:val="Textonotapie"/>
        <w:rPr>
          <w:lang w:val="es-MX"/>
        </w:rPr>
      </w:pPr>
      <w:r>
        <w:rPr>
          <w:rStyle w:val="Refdenotaalpie"/>
        </w:rPr>
        <w:footnoteRef/>
      </w:r>
      <w:r>
        <w:t xml:space="preserve"> </w:t>
      </w:r>
      <w:r w:rsidR="00885652">
        <w:t xml:space="preserve">Norte Digital. Hacemos Periodismo. </w:t>
      </w:r>
      <w:r w:rsidR="00885652" w:rsidRPr="00885652">
        <w:rPr>
          <w:i/>
          <w:iCs/>
        </w:rPr>
        <w:t>Da Maru contrato de Torre Centinela a empresa con senialamientos de aplicar sobreprecios.</w:t>
      </w:r>
      <w:r w:rsidR="00885652">
        <w:t xml:space="preserve"> </w:t>
      </w:r>
      <w:hyperlink r:id="rId4" w:history="1">
        <w:r w:rsidRPr="00AB6C43">
          <w:rPr>
            <w:rStyle w:val="Hipervnculo"/>
          </w:rPr>
          <w:t>https://nortedigital.mx/da-maru-contrato-de-torre-centinela-a-empresa-con-senalamientos-de-aplicar-sobreprecios/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B7BA"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07BC3636"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Cien años del </w:t>
    </w:r>
    <w:proofErr w:type="spellStart"/>
    <w:r w:rsidRPr="00C702F6">
      <w:rPr>
        <w:rFonts w:ascii="Century Gothic" w:hAnsi="Century Gothic"/>
        <w:b/>
        <w:bCs/>
        <w:i/>
        <w:iCs/>
        <w:sz w:val="18"/>
        <w:szCs w:val="18"/>
      </w:rPr>
      <w:t>Rotarismo</w:t>
    </w:r>
    <w:proofErr w:type="spellEnd"/>
    <w:r w:rsidRPr="00C702F6">
      <w:rPr>
        <w:rFonts w:ascii="Century Gothic" w:hAnsi="Century Gothic"/>
        <w:b/>
        <w:bCs/>
        <w:i/>
        <w:iCs/>
        <w:sz w:val="18"/>
        <w:szCs w:val="18"/>
      </w:rPr>
      <w:t xml:space="preserve"> en Chihuahua”</w:t>
    </w:r>
  </w:p>
  <w:p w14:paraId="5A786EB6" w14:textId="77777777" w:rsidR="00B05008" w:rsidRDefault="00A33859">
    <w:pPr>
      <w:pBdr>
        <w:top w:val="nil"/>
        <w:left w:val="nil"/>
        <w:bottom w:val="nil"/>
        <w:right w:val="nil"/>
        <w:between w:val="nil"/>
      </w:pBdr>
      <w:tabs>
        <w:tab w:val="center" w:pos="4419"/>
        <w:tab w:val="right" w:pos="8838"/>
      </w:tabs>
      <w:rPr>
        <w:color w:val="000000"/>
        <w:sz w:val="24"/>
        <w:szCs w:val="24"/>
      </w:rPr>
    </w:pPr>
  </w:p>
  <w:p w14:paraId="593C25B1" w14:textId="77777777" w:rsidR="00B05008" w:rsidRDefault="00A33859">
    <w:pPr>
      <w:pBdr>
        <w:top w:val="nil"/>
        <w:left w:val="nil"/>
        <w:bottom w:val="nil"/>
        <w:right w:val="nil"/>
        <w:between w:val="nil"/>
      </w:pBdr>
      <w:tabs>
        <w:tab w:val="center" w:pos="4419"/>
        <w:tab w:val="right" w:pos="8838"/>
      </w:tabs>
      <w:rPr>
        <w:color w:val="000000"/>
        <w:sz w:val="24"/>
        <w:szCs w:val="24"/>
      </w:rPr>
    </w:pPr>
  </w:p>
  <w:p w14:paraId="737ECE84" w14:textId="77777777" w:rsidR="00B05008" w:rsidRDefault="00A33859">
    <w:pPr>
      <w:pBdr>
        <w:top w:val="nil"/>
        <w:left w:val="nil"/>
        <w:bottom w:val="nil"/>
        <w:right w:val="nil"/>
        <w:between w:val="nil"/>
      </w:pBdr>
      <w:tabs>
        <w:tab w:val="center" w:pos="4419"/>
        <w:tab w:val="right" w:pos="8838"/>
      </w:tabs>
      <w:rPr>
        <w:color w:val="000000"/>
        <w:sz w:val="24"/>
        <w:szCs w:val="24"/>
      </w:rPr>
    </w:pPr>
  </w:p>
  <w:p w14:paraId="62C58846" w14:textId="77777777" w:rsidR="00B05008" w:rsidRDefault="00A33859"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22"/>
    <w:multiLevelType w:val="multilevel"/>
    <w:tmpl w:val="7BD4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4FF"/>
    <w:multiLevelType w:val="hybridMultilevel"/>
    <w:tmpl w:val="0ACC70FA"/>
    <w:lvl w:ilvl="0" w:tplc="FEC43C8A">
      <w:start w:val="1"/>
      <w:numFmt w:val="upperRoman"/>
      <w:lvlText w:val="%1."/>
      <w:lvlJc w:val="left"/>
      <w:pPr>
        <w:ind w:left="1080" w:hanging="720"/>
      </w:pPr>
      <w:rPr>
        <w:rFonts w:ascii="Times New Roman" w:hAnsi="Times New Roman" w:cs="Times New Roman"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E6D82"/>
    <w:multiLevelType w:val="hybridMultilevel"/>
    <w:tmpl w:val="FFDC52A6"/>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8D079AE"/>
    <w:multiLevelType w:val="multilevel"/>
    <w:tmpl w:val="C0C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64647"/>
    <w:multiLevelType w:val="multilevel"/>
    <w:tmpl w:val="B83E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118D6"/>
    <w:multiLevelType w:val="multilevel"/>
    <w:tmpl w:val="1212B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3644C"/>
    <w:multiLevelType w:val="multilevel"/>
    <w:tmpl w:val="068C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E6279"/>
    <w:multiLevelType w:val="multilevel"/>
    <w:tmpl w:val="2CD0A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C6371"/>
    <w:multiLevelType w:val="multilevel"/>
    <w:tmpl w:val="46267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84603"/>
    <w:multiLevelType w:val="multilevel"/>
    <w:tmpl w:val="3FE2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468C7"/>
    <w:multiLevelType w:val="multilevel"/>
    <w:tmpl w:val="B4B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03497"/>
    <w:multiLevelType w:val="multilevel"/>
    <w:tmpl w:val="85301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4"/>
  </w:num>
  <w:num w:numId="6">
    <w:abstractNumId w:val="3"/>
  </w:num>
  <w:num w:numId="7">
    <w:abstractNumId w:val="6"/>
  </w:num>
  <w:num w:numId="8">
    <w:abstractNumId w:val="7"/>
  </w:num>
  <w:num w:numId="9">
    <w:abstractNumId w:val="9"/>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C"/>
    <w:rsid w:val="00025B06"/>
    <w:rsid w:val="00077623"/>
    <w:rsid w:val="00085CAA"/>
    <w:rsid w:val="000A5F0A"/>
    <w:rsid w:val="000C0C88"/>
    <w:rsid w:val="000C0F77"/>
    <w:rsid w:val="00151EE0"/>
    <w:rsid w:val="00160E2D"/>
    <w:rsid w:val="001B2406"/>
    <w:rsid w:val="001C6FB8"/>
    <w:rsid w:val="001D42EC"/>
    <w:rsid w:val="002B2E35"/>
    <w:rsid w:val="00304E75"/>
    <w:rsid w:val="00314790"/>
    <w:rsid w:val="003578AC"/>
    <w:rsid w:val="00373655"/>
    <w:rsid w:val="00374BEE"/>
    <w:rsid w:val="00383710"/>
    <w:rsid w:val="00392E47"/>
    <w:rsid w:val="003A7B1D"/>
    <w:rsid w:val="003C0B4A"/>
    <w:rsid w:val="003D064B"/>
    <w:rsid w:val="003F4A13"/>
    <w:rsid w:val="003F779D"/>
    <w:rsid w:val="004227DB"/>
    <w:rsid w:val="004260A0"/>
    <w:rsid w:val="004A2BAD"/>
    <w:rsid w:val="004A7D92"/>
    <w:rsid w:val="004D2049"/>
    <w:rsid w:val="004F2121"/>
    <w:rsid w:val="005149E4"/>
    <w:rsid w:val="00525C06"/>
    <w:rsid w:val="00537466"/>
    <w:rsid w:val="00547AC5"/>
    <w:rsid w:val="0059408E"/>
    <w:rsid w:val="005A77E4"/>
    <w:rsid w:val="005F1280"/>
    <w:rsid w:val="0060545D"/>
    <w:rsid w:val="006315A7"/>
    <w:rsid w:val="00641E7D"/>
    <w:rsid w:val="006A0750"/>
    <w:rsid w:val="006A68A8"/>
    <w:rsid w:val="006D67F4"/>
    <w:rsid w:val="006E2712"/>
    <w:rsid w:val="00737A55"/>
    <w:rsid w:val="007411C6"/>
    <w:rsid w:val="00782956"/>
    <w:rsid w:val="00786891"/>
    <w:rsid w:val="007C50AE"/>
    <w:rsid w:val="008300F8"/>
    <w:rsid w:val="00885652"/>
    <w:rsid w:val="008D7C63"/>
    <w:rsid w:val="008F7897"/>
    <w:rsid w:val="00905A55"/>
    <w:rsid w:val="00916341"/>
    <w:rsid w:val="00922A5A"/>
    <w:rsid w:val="00952BAF"/>
    <w:rsid w:val="00956801"/>
    <w:rsid w:val="009767B7"/>
    <w:rsid w:val="009A37FF"/>
    <w:rsid w:val="009C3855"/>
    <w:rsid w:val="009F7569"/>
    <w:rsid w:val="00A11D72"/>
    <w:rsid w:val="00A33859"/>
    <w:rsid w:val="00AD22FA"/>
    <w:rsid w:val="00B2552B"/>
    <w:rsid w:val="00B431FD"/>
    <w:rsid w:val="00B54C46"/>
    <w:rsid w:val="00B712CA"/>
    <w:rsid w:val="00B96C05"/>
    <w:rsid w:val="00BC6406"/>
    <w:rsid w:val="00BF25DE"/>
    <w:rsid w:val="00BF4707"/>
    <w:rsid w:val="00C01A2D"/>
    <w:rsid w:val="00C02438"/>
    <w:rsid w:val="00C566BD"/>
    <w:rsid w:val="00C707F5"/>
    <w:rsid w:val="00C74D5F"/>
    <w:rsid w:val="00D3004E"/>
    <w:rsid w:val="00D444D4"/>
    <w:rsid w:val="00D452FD"/>
    <w:rsid w:val="00D5246B"/>
    <w:rsid w:val="00DD0984"/>
    <w:rsid w:val="00E028D6"/>
    <w:rsid w:val="00E136C9"/>
    <w:rsid w:val="00E14EE3"/>
    <w:rsid w:val="00E22C9C"/>
    <w:rsid w:val="00E7186D"/>
    <w:rsid w:val="00E75F66"/>
    <w:rsid w:val="00EA1F42"/>
    <w:rsid w:val="00EC382C"/>
    <w:rsid w:val="00ED7331"/>
    <w:rsid w:val="00F12AA6"/>
    <w:rsid w:val="00F23E10"/>
    <w:rsid w:val="00FC1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D940"/>
  <w15:chartTrackingRefBased/>
  <w15:docId w15:val="{13882158-406E-443B-B2AD-FACF59AF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2C"/>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link w:val="Ttulo1Car"/>
    <w:uiPriority w:val="9"/>
    <w:qFormat/>
    <w:rsid w:val="00885652"/>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C382C"/>
    <w:rPr>
      <w:i/>
      <w:iC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EC382C"/>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EC382C"/>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EC382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C382C"/>
    <w:pPr>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EC382C"/>
    <w:pPr>
      <w:spacing w:before="100" w:beforeAutospacing="1" w:after="100" w:afterAutospacing="1"/>
    </w:pPr>
    <w:rPr>
      <w:sz w:val="24"/>
      <w:szCs w:val="24"/>
    </w:rPr>
  </w:style>
  <w:style w:type="character" w:styleId="Hipervnculo">
    <w:name w:val="Hyperlink"/>
    <w:basedOn w:val="Fuentedeprrafopredeter"/>
    <w:uiPriority w:val="99"/>
    <w:unhideWhenUsed/>
    <w:rsid w:val="00EC382C"/>
    <w:rPr>
      <w:color w:val="0000FF"/>
      <w:u w:val="single"/>
    </w:rPr>
  </w:style>
  <w:style w:type="paragraph" w:customStyle="1" w:styleId="corte4fondo">
    <w:name w:val="corte4 fondo"/>
    <w:basedOn w:val="Normal"/>
    <w:link w:val="corte4fondoCar1"/>
    <w:qFormat/>
    <w:rsid w:val="00EC382C"/>
    <w:pPr>
      <w:spacing w:line="360" w:lineRule="auto"/>
      <w:ind w:firstLine="709"/>
      <w:jc w:val="both"/>
    </w:pPr>
    <w:rPr>
      <w:rFonts w:ascii="Arial" w:hAnsi="Arial"/>
      <w:sz w:val="30"/>
      <w:lang w:val="es-ES_tradnl"/>
    </w:rPr>
  </w:style>
  <w:style w:type="character" w:customStyle="1" w:styleId="corte4fondoCar1">
    <w:name w:val="corte4 fondo Car1"/>
    <w:link w:val="corte4fondo"/>
    <w:rsid w:val="00EC382C"/>
    <w:rPr>
      <w:rFonts w:ascii="Arial" w:eastAsia="Times New Roman" w:hAnsi="Arial" w:cs="Times New Roman"/>
      <w:sz w:val="30"/>
      <w:szCs w:val="20"/>
      <w:lang w:val="es-ES_tradnl" w:eastAsia="es-MX"/>
    </w:rPr>
  </w:style>
  <w:style w:type="character" w:styleId="Textoennegrita">
    <w:name w:val="Strong"/>
    <w:basedOn w:val="Fuentedeprrafopredeter"/>
    <w:uiPriority w:val="22"/>
    <w:qFormat/>
    <w:rsid w:val="00EC382C"/>
    <w:rPr>
      <w:b/>
      <w:bCs/>
    </w:rPr>
  </w:style>
  <w:style w:type="paragraph" w:styleId="Encabezado">
    <w:name w:val="header"/>
    <w:basedOn w:val="Normal"/>
    <w:link w:val="EncabezadoCar"/>
    <w:uiPriority w:val="99"/>
    <w:unhideWhenUsed/>
    <w:rsid w:val="00EC382C"/>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EC382C"/>
    <w:rPr>
      <w:rFonts w:eastAsiaTheme="minorEastAsia"/>
      <w:sz w:val="24"/>
      <w:szCs w:val="24"/>
    </w:rPr>
  </w:style>
  <w:style w:type="paragraph" w:styleId="Prrafodelista">
    <w:name w:val="List Paragraph"/>
    <w:basedOn w:val="Normal"/>
    <w:uiPriority w:val="34"/>
    <w:qFormat/>
    <w:rsid w:val="009767B7"/>
    <w:pPr>
      <w:ind w:left="720"/>
      <w:contextualSpacing/>
    </w:pPr>
  </w:style>
  <w:style w:type="character" w:styleId="Mencinsinresolver">
    <w:name w:val="Unresolved Mention"/>
    <w:basedOn w:val="Fuentedeprrafopredeter"/>
    <w:uiPriority w:val="99"/>
    <w:semiHidden/>
    <w:unhideWhenUsed/>
    <w:rsid w:val="001C6FB8"/>
    <w:rPr>
      <w:color w:val="605E5C"/>
      <w:shd w:val="clear" w:color="auto" w:fill="E1DFDD"/>
    </w:rPr>
  </w:style>
  <w:style w:type="character" w:styleId="Hipervnculovisitado">
    <w:name w:val="FollowedHyperlink"/>
    <w:basedOn w:val="Fuentedeprrafopredeter"/>
    <w:uiPriority w:val="99"/>
    <w:semiHidden/>
    <w:unhideWhenUsed/>
    <w:rsid w:val="00E028D6"/>
    <w:rPr>
      <w:color w:val="954F72" w:themeColor="followedHyperlink"/>
      <w:u w:val="single"/>
    </w:rPr>
  </w:style>
  <w:style w:type="character" w:customStyle="1" w:styleId="Ttulo1Car">
    <w:name w:val="Título 1 Car"/>
    <w:basedOn w:val="Fuentedeprrafopredeter"/>
    <w:link w:val="Ttulo1"/>
    <w:uiPriority w:val="9"/>
    <w:rsid w:val="0088565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4520">
      <w:bodyDiv w:val="1"/>
      <w:marLeft w:val="0"/>
      <w:marRight w:val="0"/>
      <w:marTop w:val="0"/>
      <w:marBottom w:val="0"/>
      <w:divBdr>
        <w:top w:val="none" w:sz="0" w:space="0" w:color="auto"/>
        <w:left w:val="none" w:sz="0" w:space="0" w:color="auto"/>
        <w:bottom w:val="none" w:sz="0" w:space="0" w:color="auto"/>
        <w:right w:val="none" w:sz="0" w:space="0" w:color="auto"/>
      </w:divBdr>
    </w:div>
    <w:div w:id="590355050">
      <w:bodyDiv w:val="1"/>
      <w:marLeft w:val="0"/>
      <w:marRight w:val="0"/>
      <w:marTop w:val="0"/>
      <w:marBottom w:val="0"/>
      <w:divBdr>
        <w:top w:val="none" w:sz="0" w:space="0" w:color="auto"/>
        <w:left w:val="none" w:sz="0" w:space="0" w:color="auto"/>
        <w:bottom w:val="none" w:sz="0" w:space="0" w:color="auto"/>
        <w:right w:val="none" w:sz="0" w:space="0" w:color="auto"/>
      </w:divBdr>
    </w:div>
    <w:div w:id="1271208903">
      <w:bodyDiv w:val="1"/>
      <w:marLeft w:val="0"/>
      <w:marRight w:val="0"/>
      <w:marTop w:val="0"/>
      <w:marBottom w:val="0"/>
      <w:divBdr>
        <w:top w:val="none" w:sz="0" w:space="0" w:color="auto"/>
        <w:left w:val="none" w:sz="0" w:space="0" w:color="auto"/>
        <w:bottom w:val="none" w:sz="0" w:space="0" w:color="auto"/>
        <w:right w:val="none" w:sz="0" w:space="0" w:color="auto"/>
      </w:divBdr>
    </w:div>
    <w:div w:id="13808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afree.mx/wp-content/uploads/2022/08/Informacion-reservada-torre-Centinel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tatijuana.com/2021/02/c5i-simulacion-opacidad-y-negoc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eciales.noroeste.com.mx/seguridad-la-mina-de-oro/inseguridad-la-mina-de-oro/" TargetMode="External"/><Relationship Id="rId4" Type="http://schemas.openxmlformats.org/officeDocument/2006/relationships/settings" Target="settings.xml"/><Relationship Id="rId9" Type="http://schemas.openxmlformats.org/officeDocument/2006/relationships/hyperlink" Target="https://www.proceso.com.mx/reportajes/2018/2/18/seguritech-servicio-deficiente-ganancias-millonarias-200133.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q=%E2%80%9CInseguridad%3A+La+mina+de+oro%E2%80%9D&amp;oq=%E2%80%9CInseguridad%3A+La+mina+de+oro%E2%80%9D&amp;aqs=chrome..69i57.378j0j15&amp;sourceid=chrome&amp;ie=UTF-8" TargetMode="External"/><Relationship Id="rId2" Type="http://schemas.openxmlformats.org/officeDocument/2006/relationships/hyperlink" Target="https://nortedigital.mx/da-maru-contrato-de-torre-centinela-a-empresa-con-senalamientos-de-aplicar-sobreprecios/" TargetMode="External"/><Relationship Id="rId1" Type="http://schemas.openxmlformats.org/officeDocument/2006/relationships/hyperlink" Target="https://zonafree.mx/2022/08/18/la-torre-centinela-en-manos-de-una-empresa-senalada-por-moches-y-cobrar-sobreprecios/" TargetMode="External"/><Relationship Id="rId4" Type="http://schemas.openxmlformats.org/officeDocument/2006/relationships/hyperlink" Target="https://nortedigital.mx/da-maru-contrato-de-torre-centinela-a-empresa-con-senalamientos-de-aplicar-sobrepre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2118-6ADF-4124-9EC6-4FBBB557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2654</Words>
  <Characters>14601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2023-02-20T23:37:00Z</dcterms:created>
  <dcterms:modified xsi:type="dcterms:W3CDTF">2023-02-20T23:37:00Z</dcterms:modified>
</cp:coreProperties>
</file>