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5CF0" w14:textId="77777777" w:rsidR="00A2247B" w:rsidRPr="00A2247B" w:rsidRDefault="00A2247B" w:rsidP="00A2247B">
      <w:pPr>
        <w:spacing w:line="240" w:lineRule="auto"/>
        <w:jc w:val="both"/>
        <w:rPr>
          <w:rFonts w:ascii="Century Gothic" w:hAnsi="Century Gothic"/>
        </w:rPr>
      </w:pPr>
      <w:r w:rsidRPr="00A2247B">
        <w:rPr>
          <w:rFonts w:ascii="Century Gothic" w:hAnsi="Century Gothic"/>
          <w:b/>
          <w:color w:val="000000"/>
        </w:rPr>
        <w:t>H. CONGRESO DEL ESTADO.</w:t>
      </w:r>
      <w:r w:rsidRPr="00A2247B">
        <w:rPr>
          <w:rFonts w:ascii="Century Gothic" w:hAnsi="Century Gothic"/>
          <w:color w:val="000000"/>
        </w:rPr>
        <w:t xml:space="preserve"> </w:t>
      </w:r>
    </w:p>
    <w:p w14:paraId="1CA05874" w14:textId="77777777" w:rsidR="00A2247B" w:rsidRPr="00A2247B" w:rsidRDefault="00A2247B" w:rsidP="00A2247B">
      <w:pPr>
        <w:spacing w:line="240" w:lineRule="auto"/>
        <w:jc w:val="both"/>
        <w:rPr>
          <w:rFonts w:ascii="Century Gothic" w:hAnsi="Century Gothic"/>
          <w:color w:val="000000"/>
        </w:rPr>
      </w:pPr>
      <w:r w:rsidRPr="00A2247B">
        <w:rPr>
          <w:rFonts w:ascii="Century Gothic" w:hAnsi="Century Gothic"/>
          <w:b/>
          <w:color w:val="000000"/>
        </w:rPr>
        <w:t>P R E S E N T E.</w:t>
      </w:r>
      <w:r w:rsidRPr="00A2247B">
        <w:rPr>
          <w:rFonts w:ascii="Century Gothic" w:hAnsi="Century Gothic"/>
          <w:color w:val="000000"/>
        </w:rPr>
        <w:t xml:space="preserve"> </w:t>
      </w:r>
    </w:p>
    <w:p w14:paraId="4E6E17F5" w14:textId="77777777" w:rsidR="00A2247B" w:rsidRPr="00A2247B" w:rsidRDefault="00A2247B" w:rsidP="00A2247B">
      <w:pPr>
        <w:spacing w:line="240" w:lineRule="auto"/>
        <w:jc w:val="both"/>
        <w:rPr>
          <w:rFonts w:ascii="Century Gothic" w:hAnsi="Century Gothic"/>
          <w:color w:val="000000"/>
        </w:rPr>
      </w:pPr>
    </w:p>
    <w:p w14:paraId="7099E638" w14:textId="61608DAB" w:rsidR="00A2247B" w:rsidRPr="00A2247B" w:rsidRDefault="00A2247B" w:rsidP="00A2247B">
      <w:pPr>
        <w:spacing w:line="360" w:lineRule="auto"/>
        <w:ind w:firstLine="708"/>
        <w:jc w:val="both"/>
        <w:rPr>
          <w:rFonts w:ascii="Century Gothic" w:hAnsi="Century Gothic"/>
          <w:color w:val="000000"/>
        </w:rPr>
      </w:pPr>
      <w:r w:rsidRPr="00A2247B">
        <w:rPr>
          <w:rFonts w:ascii="Century Gothic" w:hAnsi="Century Gothic"/>
          <w:color w:val="000000"/>
        </w:rPr>
        <w:t>Quienes suscriben,</w:t>
      </w:r>
      <w:r w:rsidRPr="00A2247B">
        <w:rPr>
          <w:rFonts w:ascii="Century Gothic" w:hAnsi="Century Gothic"/>
          <w:b/>
          <w:color w:val="000000"/>
        </w:rPr>
        <w:t xml:space="preserve"> Edin Cuauhtémoc Estrada Sotelo, Óscar Daniel Avitia Arellanes, Rosana Díaz Reyes</w:t>
      </w:r>
      <w:r>
        <w:rPr>
          <w:rFonts w:ascii="Century Gothic" w:hAnsi="Century Gothic"/>
          <w:b/>
          <w:color w:val="000000"/>
        </w:rPr>
        <w:t xml:space="preserve">, </w:t>
      </w:r>
      <w:r w:rsidRPr="00A2247B">
        <w:rPr>
          <w:rFonts w:ascii="Century Gothic" w:hAnsi="Century Gothic"/>
          <w:b/>
          <w:color w:val="000000"/>
        </w:rPr>
        <w:t xml:space="preserve">Gustavo de la Rosa </w:t>
      </w:r>
      <w:proofErr w:type="spellStart"/>
      <w:r w:rsidRPr="00A2247B">
        <w:rPr>
          <w:rFonts w:ascii="Century Gothic" w:hAnsi="Century Gothic"/>
          <w:b/>
          <w:color w:val="000000"/>
        </w:rPr>
        <w:t>Hickerson</w:t>
      </w:r>
      <w:proofErr w:type="spellEnd"/>
      <w:r w:rsidRPr="00A2247B">
        <w:rPr>
          <w:rFonts w:ascii="Century Gothic" w:hAnsi="Century Gothic"/>
          <w:b/>
          <w:color w:val="000000"/>
        </w:rPr>
        <w:t>, Jael Argüelles Díaz, María Antonieta Pérez Reyes,</w:t>
      </w:r>
      <w:r>
        <w:rPr>
          <w:rFonts w:ascii="Century Gothic" w:hAnsi="Century Gothic"/>
          <w:b/>
          <w:color w:val="000000"/>
        </w:rPr>
        <w:t xml:space="preserve"> </w:t>
      </w:r>
      <w:r w:rsidRPr="00A2247B">
        <w:rPr>
          <w:rFonts w:ascii="Century Gothic" w:hAnsi="Century Gothic"/>
          <w:b/>
          <w:color w:val="000000"/>
        </w:rPr>
        <w:t>Benjamín Carrera Chávez, David Óscar Castrejón Rivas, Magdalena Rentería Pérez</w:t>
      </w:r>
      <w:r>
        <w:rPr>
          <w:rFonts w:ascii="Century Gothic" w:hAnsi="Century Gothic"/>
          <w:b/>
          <w:color w:val="000000"/>
        </w:rPr>
        <w:t xml:space="preserve">, </w:t>
      </w:r>
      <w:r w:rsidRPr="00A2247B">
        <w:rPr>
          <w:rFonts w:ascii="Century Gothic" w:hAnsi="Century Gothic"/>
          <w:b/>
          <w:color w:val="000000"/>
        </w:rPr>
        <w:t xml:space="preserve">Ilse América García Soto, </w:t>
      </w:r>
      <w:r w:rsidRPr="00A2247B">
        <w:rPr>
          <w:rFonts w:ascii="Century Gothic" w:hAnsi="Century Gothic"/>
          <w:color w:val="000000"/>
        </w:rPr>
        <w:t xml:space="preserve">y la de la voz, </w:t>
      </w:r>
      <w:r w:rsidRPr="00A2247B">
        <w:rPr>
          <w:rFonts w:ascii="Century Gothic" w:hAnsi="Century Gothic"/>
          <w:b/>
          <w:color w:val="000000"/>
        </w:rPr>
        <w:t>Leticia Ortega Máynez</w:t>
      </w:r>
      <w:r w:rsidRPr="00A2247B">
        <w:rPr>
          <w:rFonts w:ascii="Century Gothic" w:hAnsi="Century Gothic"/>
          <w:color w:val="000000"/>
        </w:rPr>
        <w:t xml:space="preserve">, en nuestro carácter de Diputadas y Diputados de la Sexagésima Séptima Legislatura e integrantes Grupo Parlamentario de </w:t>
      </w:r>
      <w:r w:rsidRPr="00A2247B">
        <w:rPr>
          <w:rFonts w:ascii="Century Gothic" w:hAnsi="Century Gothic"/>
          <w:bCs/>
          <w:color w:val="000000"/>
        </w:rPr>
        <w:t>MORENA</w:t>
      </w:r>
      <w:r w:rsidRPr="00A2247B">
        <w:rPr>
          <w:rFonts w:ascii="Century Gothic" w:hAnsi="Century Gothic"/>
          <w:color w:val="000000"/>
        </w:rPr>
        <w:t xml:space="preserve">, con fundamento en lo dispuesto por el artículo 68 fracción primera de la Constitución Política del Estado de Chihuahua, me permito someter a consideración de esta Soberanía, Iniciativa con carácter de </w:t>
      </w:r>
      <w:r w:rsidRPr="00A2247B">
        <w:rPr>
          <w:rFonts w:ascii="Century Gothic" w:hAnsi="Century Gothic"/>
          <w:b/>
          <w:color w:val="000000"/>
        </w:rPr>
        <w:t>DECRETO</w:t>
      </w:r>
      <w:r w:rsidRPr="00A2247B">
        <w:rPr>
          <w:rFonts w:ascii="Century Gothic" w:hAnsi="Century Gothic"/>
          <w:color w:val="000000"/>
        </w:rPr>
        <w:t xml:space="preserve">, con la finalidad de </w:t>
      </w:r>
      <w:r w:rsidR="00993397">
        <w:rPr>
          <w:rFonts w:ascii="Century Gothic" w:hAnsi="Century Gothic"/>
          <w:b/>
          <w:bCs/>
          <w:color w:val="000000"/>
        </w:rPr>
        <w:t>ADICIONAR DOS PÁRRAFOS AL</w:t>
      </w:r>
      <w:r w:rsidR="00993397" w:rsidRPr="00993397">
        <w:rPr>
          <w:rFonts w:ascii="Century Gothic" w:hAnsi="Century Gothic"/>
          <w:b/>
          <w:bCs/>
          <w:color w:val="000000"/>
        </w:rPr>
        <w:t xml:space="preserve"> ARTÍCULO 264 BIS DEL CÓDIGO PENAL DEL ESTADO, EN RELACIÓN A LA</w:t>
      </w:r>
      <w:r w:rsidR="00993397" w:rsidRPr="00993397">
        <w:rPr>
          <w:rFonts w:ascii="Century Gothic" w:hAnsi="Century Gothic" w:cs="Arial"/>
          <w:b/>
          <w:bCs/>
        </w:rPr>
        <w:t xml:space="preserve"> NEGACIÓN DEL SERVICIO PÚBLICO EN CASOS DE </w:t>
      </w:r>
      <w:r w:rsidR="00993397" w:rsidRPr="00993397">
        <w:rPr>
          <w:rFonts w:ascii="Century Gothic" w:hAnsi="Century Gothic"/>
          <w:b/>
          <w:bCs/>
        </w:rPr>
        <w:t>DELITOS COMETIDOS EN CONTRA DE UNA MUJER POR SU CONDICIÓN DE GÉNERO</w:t>
      </w:r>
      <w:r w:rsidR="00993397" w:rsidRPr="00993397">
        <w:rPr>
          <w:rFonts w:ascii="Century Gothic" w:hAnsi="Century Gothic"/>
          <w:b/>
          <w:bCs/>
          <w:color w:val="000000"/>
        </w:rPr>
        <w:t>;</w:t>
      </w:r>
      <w:r w:rsidRPr="006B6937">
        <w:rPr>
          <w:rFonts w:ascii="Century Gothic" w:hAnsi="Century Gothic"/>
          <w:color w:val="000000"/>
        </w:rPr>
        <w:t xml:space="preserve"> lo anterior sustentado en la siguiente</w:t>
      </w:r>
      <w:r w:rsidRPr="00A2247B">
        <w:rPr>
          <w:rFonts w:ascii="Century Gothic" w:hAnsi="Century Gothic"/>
          <w:color w:val="000000"/>
        </w:rPr>
        <w:t>:</w:t>
      </w:r>
    </w:p>
    <w:p w14:paraId="7FCC98B5" w14:textId="73A7B569" w:rsidR="00367E27" w:rsidRPr="00E7662B" w:rsidRDefault="00367E27" w:rsidP="00367E27">
      <w:pPr>
        <w:jc w:val="center"/>
        <w:rPr>
          <w:rFonts w:ascii="Century Gothic" w:hAnsi="Century Gothic"/>
          <w:b/>
          <w:bCs/>
          <w:sz w:val="24"/>
          <w:szCs w:val="24"/>
        </w:rPr>
      </w:pPr>
      <w:r w:rsidRPr="00E7662B">
        <w:rPr>
          <w:rFonts w:ascii="Century Gothic" w:hAnsi="Century Gothic"/>
          <w:b/>
          <w:bCs/>
          <w:sz w:val="24"/>
          <w:szCs w:val="24"/>
        </w:rPr>
        <w:t>EXPOSICIÓN DE MOTIVOS</w:t>
      </w:r>
    </w:p>
    <w:p w14:paraId="48F9C486" w14:textId="77777777" w:rsidR="00E760CD" w:rsidRPr="00E7662B" w:rsidRDefault="00E760CD" w:rsidP="003B0B86">
      <w:pPr>
        <w:jc w:val="both"/>
        <w:rPr>
          <w:rFonts w:ascii="Century Gothic" w:hAnsi="Century Gothic"/>
          <w:sz w:val="24"/>
          <w:szCs w:val="24"/>
        </w:rPr>
      </w:pPr>
    </w:p>
    <w:p w14:paraId="378C961F" w14:textId="4B46C3F2" w:rsidR="003C2047" w:rsidRPr="00E7662B" w:rsidRDefault="006671D3" w:rsidP="00E7662B">
      <w:pPr>
        <w:spacing w:line="360" w:lineRule="auto"/>
        <w:jc w:val="both"/>
        <w:rPr>
          <w:rFonts w:ascii="Century Gothic" w:hAnsi="Century Gothic"/>
        </w:rPr>
      </w:pPr>
      <w:r w:rsidRPr="00E7662B">
        <w:rPr>
          <w:rFonts w:ascii="Century Gothic" w:hAnsi="Century Gothic"/>
        </w:rPr>
        <w:t xml:space="preserve">La lucha </w:t>
      </w:r>
      <w:r w:rsidR="00004C95" w:rsidRPr="00E7662B">
        <w:rPr>
          <w:rFonts w:ascii="Century Gothic" w:hAnsi="Century Gothic"/>
        </w:rPr>
        <w:t xml:space="preserve">de las mujeres </w:t>
      </w:r>
      <w:r w:rsidRPr="00E7662B">
        <w:rPr>
          <w:rFonts w:ascii="Century Gothic" w:hAnsi="Century Gothic"/>
        </w:rPr>
        <w:t xml:space="preserve">por </w:t>
      </w:r>
      <w:r w:rsidR="00E760CD" w:rsidRPr="00E7662B">
        <w:rPr>
          <w:rFonts w:ascii="Century Gothic" w:hAnsi="Century Gothic"/>
        </w:rPr>
        <w:t>el acceso a la</w:t>
      </w:r>
      <w:r w:rsidRPr="00E7662B">
        <w:rPr>
          <w:rFonts w:ascii="Century Gothic" w:hAnsi="Century Gothic"/>
        </w:rPr>
        <w:t xml:space="preserve"> justicia </w:t>
      </w:r>
      <w:r w:rsidR="00D87C7B">
        <w:rPr>
          <w:rFonts w:ascii="Century Gothic" w:hAnsi="Century Gothic"/>
        </w:rPr>
        <w:t>ha requerido derribar una serie de obstáculos que se han presentado en el transcurso del tiempo</w:t>
      </w:r>
      <w:r w:rsidR="00004C95" w:rsidRPr="00E7662B">
        <w:rPr>
          <w:rFonts w:ascii="Century Gothic" w:hAnsi="Century Gothic"/>
        </w:rPr>
        <w:t>, mucho se atribuye al machismo que aun impera en nuestra sociedad, a la misoginia y a que anteriormente se pensaba que la violencia</w:t>
      </w:r>
      <w:r w:rsidR="003C2047" w:rsidRPr="00E7662B">
        <w:rPr>
          <w:rFonts w:ascii="Century Gothic" w:hAnsi="Century Gothic"/>
        </w:rPr>
        <w:t xml:space="preserve"> contra la mujer era algo normal en el núcleo familiar y que era</w:t>
      </w:r>
      <w:r w:rsidR="00004C95" w:rsidRPr="00E7662B">
        <w:rPr>
          <w:rFonts w:ascii="Century Gothic" w:hAnsi="Century Gothic"/>
        </w:rPr>
        <w:t xml:space="preserve"> un tema </w:t>
      </w:r>
      <w:r w:rsidR="003C2047" w:rsidRPr="00E7662B">
        <w:rPr>
          <w:rFonts w:ascii="Century Gothic" w:hAnsi="Century Gothic"/>
        </w:rPr>
        <w:t xml:space="preserve">que debía resolverse de manera </w:t>
      </w:r>
      <w:r w:rsidR="00004C95" w:rsidRPr="00E7662B">
        <w:rPr>
          <w:rFonts w:ascii="Century Gothic" w:hAnsi="Century Gothic"/>
        </w:rPr>
        <w:t>privad</w:t>
      </w:r>
      <w:r w:rsidR="003C2047" w:rsidRPr="00E7662B">
        <w:rPr>
          <w:rFonts w:ascii="Century Gothic" w:hAnsi="Century Gothic"/>
        </w:rPr>
        <w:t>a</w:t>
      </w:r>
      <w:r w:rsidR="00004C95" w:rsidRPr="00E7662B">
        <w:rPr>
          <w:rFonts w:ascii="Century Gothic" w:hAnsi="Century Gothic"/>
        </w:rPr>
        <w:t>.</w:t>
      </w:r>
    </w:p>
    <w:p w14:paraId="7A170B55" w14:textId="0979C835" w:rsidR="003B0B86" w:rsidRPr="00E7662B" w:rsidRDefault="003B0B86" w:rsidP="00E7662B">
      <w:pPr>
        <w:spacing w:line="360" w:lineRule="auto"/>
        <w:jc w:val="both"/>
        <w:rPr>
          <w:rFonts w:ascii="Century Gothic" w:hAnsi="Century Gothic"/>
        </w:rPr>
      </w:pPr>
      <w:r w:rsidRPr="00E7662B">
        <w:rPr>
          <w:rFonts w:ascii="Century Gothic" w:hAnsi="Century Gothic"/>
        </w:rPr>
        <w:t>Un gran</w:t>
      </w:r>
      <w:r w:rsidR="00FF6BDD" w:rsidRPr="00E7662B">
        <w:rPr>
          <w:rFonts w:ascii="Century Gothic" w:hAnsi="Century Gothic"/>
        </w:rPr>
        <w:t xml:space="preserve"> esfuerzo se ha realizado para avanzar en este tema</w:t>
      </w:r>
      <w:r w:rsidR="00D87C7B">
        <w:rPr>
          <w:rFonts w:ascii="Century Gothic" w:hAnsi="Century Gothic"/>
        </w:rPr>
        <w:t>.</w:t>
      </w:r>
      <w:r w:rsidR="00FF6BDD" w:rsidRPr="00E7662B">
        <w:rPr>
          <w:rFonts w:ascii="Century Gothic" w:hAnsi="Century Gothic"/>
        </w:rPr>
        <w:t xml:space="preserve"> </w:t>
      </w:r>
      <w:r w:rsidR="00D87C7B">
        <w:rPr>
          <w:rFonts w:ascii="Century Gothic" w:hAnsi="Century Gothic"/>
        </w:rPr>
        <w:t>A</w:t>
      </w:r>
      <w:r w:rsidR="00FF6BDD" w:rsidRPr="00E7662B">
        <w:rPr>
          <w:rFonts w:ascii="Century Gothic" w:hAnsi="Century Gothic"/>
        </w:rPr>
        <w:t>hora la violencia contra la mujer e</w:t>
      </w:r>
      <w:r w:rsidRPr="00E7662B">
        <w:rPr>
          <w:rFonts w:ascii="Century Gothic" w:hAnsi="Century Gothic"/>
        </w:rPr>
        <w:t>s un</w:t>
      </w:r>
      <w:r w:rsidR="00FF6BDD" w:rsidRPr="00E7662B">
        <w:rPr>
          <w:rFonts w:ascii="Century Gothic" w:hAnsi="Century Gothic"/>
        </w:rPr>
        <w:t xml:space="preserve"> tema público, se han generado </w:t>
      </w:r>
      <w:r w:rsidRPr="00E7662B">
        <w:rPr>
          <w:rFonts w:ascii="Century Gothic" w:hAnsi="Century Gothic"/>
        </w:rPr>
        <w:t>los instrumentos jurídicos internacionales, nacion</w:t>
      </w:r>
      <w:r w:rsidR="00705F7D" w:rsidRPr="00E7662B">
        <w:rPr>
          <w:rFonts w:ascii="Century Gothic" w:hAnsi="Century Gothic"/>
        </w:rPr>
        <w:t>al</w:t>
      </w:r>
      <w:r w:rsidRPr="00E7662B">
        <w:rPr>
          <w:rFonts w:ascii="Century Gothic" w:hAnsi="Century Gothic"/>
        </w:rPr>
        <w:t>es y locales para visibilizar</w:t>
      </w:r>
      <w:r w:rsidR="00E760CD" w:rsidRPr="00E7662B">
        <w:rPr>
          <w:rFonts w:ascii="Century Gothic" w:hAnsi="Century Gothic"/>
        </w:rPr>
        <w:t>la</w:t>
      </w:r>
      <w:r w:rsidRPr="00E7662B">
        <w:rPr>
          <w:rFonts w:ascii="Century Gothic" w:hAnsi="Century Gothic"/>
        </w:rPr>
        <w:t xml:space="preserve"> y combatir</w:t>
      </w:r>
      <w:r w:rsidR="00E760CD" w:rsidRPr="00E7662B">
        <w:rPr>
          <w:rFonts w:ascii="Century Gothic" w:hAnsi="Century Gothic"/>
        </w:rPr>
        <w:t>la</w:t>
      </w:r>
      <w:r w:rsidRPr="00E7662B">
        <w:rPr>
          <w:rFonts w:ascii="Century Gothic" w:hAnsi="Century Gothic"/>
        </w:rPr>
        <w:t>.</w:t>
      </w:r>
    </w:p>
    <w:p w14:paraId="7FC3112E" w14:textId="7A7E4D4B" w:rsidR="00A24BB1" w:rsidRPr="00E7662B" w:rsidRDefault="00FB7BA7" w:rsidP="00E7662B">
      <w:pPr>
        <w:spacing w:line="360" w:lineRule="auto"/>
        <w:jc w:val="both"/>
        <w:rPr>
          <w:rFonts w:ascii="Century Gothic" w:hAnsi="Century Gothic"/>
        </w:rPr>
      </w:pPr>
      <w:r w:rsidRPr="00E7662B">
        <w:rPr>
          <w:rFonts w:ascii="Century Gothic" w:hAnsi="Century Gothic"/>
        </w:rPr>
        <w:t>Buscando la concientización sobre este tema,</w:t>
      </w:r>
      <w:r w:rsidR="00190C55" w:rsidRPr="00E7662B">
        <w:rPr>
          <w:rFonts w:ascii="Century Gothic" w:hAnsi="Century Gothic"/>
        </w:rPr>
        <w:t xml:space="preserve"> s</w:t>
      </w:r>
      <w:r w:rsidR="003B0B86" w:rsidRPr="00E7662B">
        <w:rPr>
          <w:rFonts w:ascii="Century Gothic" w:hAnsi="Century Gothic"/>
        </w:rPr>
        <w:t xml:space="preserve">e han implementado </w:t>
      </w:r>
      <w:r w:rsidR="00190C55" w:rsidRPr="00E7662B">
        <w:rPr>
          <w:rFonts w:ascii="Century Gothic" w:hAnsi="Century Gothic"/>
        </w:rPr>
        <w:t xml:space="preserve">en espacios laborales, académicos, y sobre todo del servicio público, cursos y </w:t>
      </w:r>
      <w:r w:rsidR="003B0B86" w:rsidRPr="00E7662B">
        <w:rPr>
          <w:rFonts w:ascii="Century Gothic" w:hAnsi="Century Gothic"/>
        </w:rPr>
        <w:t xml:space="preserve">capacitaciones en </w:t>
      </w:r>
      <w:r w:rsidR="00190C55" w:rsidRPr="00E7662B">
        <w:rPr>
          <w:rFonts w:ascii="Century Gothic" w:hAnsi="Century Gothic"/>
        </w:rPr>
        <w:t xml:space="preserve">perspectiva de género, </w:t>
      </w:r>
      <w:r w:rsidR="00C02658" w:rsidRPr="00E7662B">
        <w:rPr>
          <w:rFonts w:ascii="Century Gothic" w:hAnsi="Century Gothic"/>
        </w:rPr>
        <w:t xml:space="preserve">con la finalidad de eliminar los estereotipos, el sexismo </w:t>
      </w:r>
      <w:r w:rsidR="00C02658" w:rsidRPr="00E7662B">
        <w:rPr>
          <w:rFonts w:ascii="Century Gothic" w:hAnsi="Century Gothic"/>
        </w:rPr>
        <w:lastRenderedPageBreak/>
        <w:t xml:space="preserve">en el uso del lenguaje, la </w:t>
      </w:r>
      <w:proofErr w:type="spellStart"/>
      <w:r w:rsidR="00C02658" w:rsidRPr="00E7662B">
        <w:rPr>
          <w:rFonts w:ascii="Century Gothic" w:hAnsi="Century Gothic"/>
        </w:rPr>
        <w:t>invisibilización</w:t>
      </w:r>
      <w:proofErr w:type="spellEnd"/>
      <w:r w:rsidRPr="00E7662B">
        <w:rPr>
          <w:rFonts w:ascii="Century Gothic" w:hAnsi="Century Gothic"/>
        </w:rPr>
        <w:t xml:space="preserve"> y</w:t>
      </w:r>
      <w:r w:rsidR="00C02658" w:rsidRPr="00E7662B">
        <w:rPr>
          <w:rFonts w:ascii="Century Gothic" w:hAnsi="Century Gothic"/>
        </w:rPr>
        <w:t xml:space="preserve"> las desigualdades en contra de las mujeres. </w:t>
      </w:r>
    </w:p>
    <w:p w14:paraId="79B089DF" w14:textId="10879022" w:rsidR="00705F7D" w:rsidRPr="00E7662B" w:rsidRDefault="00705F7D" w:rsidP="00E7662B">
      <w:pPr>
        <w:spacing w:line="360" w:lineRule="auto"/>
        <w:jc w:val="both"/>
        <w:rPr>
          <w:rFonts w:ascii="Century Gothic" w:hAnsi="Century Gothic"/>
        </w:rPr>
      </w:pPr>
      <w:r w:rsidRPr="00E7662B">
        <w:rPr>
          <w:rFonts w:ascii="Century Gothic" w:hAnsi="Century Gothic"/>
        </w:rPr>
        <w:t xml:space="preserve">La Sentencia emitida </w:t>
      </w:r>
      <w:r w:rsidR="00E760CD" w:rsidRPr="00E7662B">
        <w:rPr>
          <w:rFonts w:ascii="Century Gothic" w:hAnsi="Century Gothic"/>
        </w:rPr>
        <w:t xml:space="preserve">el 16 de noviembre del 2009 </w:t>
      </w:r>
      <w:r w:rsidRPr="00E7662B">
        <w:rPr>
          <w:rFonts w:ascii="Century Gothic" w:hAnsi="Century Gothic"/>
        </w:rPr>
        <w:t xml:space="preserve">por la Corte Interamericana de Derechos Humanos, relacionada al caso González y otras vs. México, conocido también como Campo Algodonero, marcó la pauta para que en nuestro país se tomaran acciones reales sobre este tema. </w:t>
      </w:r>
    </w:p>
    <w:p w14:paraId="53A2DC5D" w14:textId="6A5D0E1E" w:rsidR="001B0E0D" w:rsidRPr="00E7662B" w:rsidRDefault="00CC4722" w:rsidP="00E7662B">
      <w:pPr>
        <w:spacing w:line="360" w:lineRule="auto"/>
        <w:jc w:val="both"/>
        <w:rPr>
          <w:rFonts w:ascii="Century Gothic" w:hAnsi="Century Gothic"/>
        </w:rPr>
      </w:pPr>
      <w:r w:rsidRPr="00E7662B">
        <w:rPr>
          <w:rFonts w:ascii="Century Gothic" w:hAnsi="Century Gothic"/>
        </w:rPr>
        <w:t>En dicha sentencia la Corte identificó que las investigaciones y los procesos de los homicidios de mujeres en Ciudad Juárez ha</w:t>
      </w:r>
      <w:r w:rsidR="00E760CD" w:rsidRPr="00E7662B">
        <w:rPr>
          <w:rFonts w:ascii="Century Gothic" w:hAnsi="Century Gothic"/>
        </w:rPr>
        <w:t>bían</w:t>
      </w:r>
      <w:r w:rsidRPr="00E7662B">
        <w:rPr>
          <w:rFonts w:ascii="Century Gothic" w:hAnsi="Century Gothic"/>
        </w:rPr>
        <w:t xml:space="preserve"> estado plagados de irregularidades y deficiencias</w:t>
      </w:r>
      <w:r w:rsidR="00E760CD" w:rsidRPr="00E7662B">
        <w:rPr>
          <w:rFonts w:ascii="Century Gothic" w:hAnsi="Century Gothic"/>
        </w:rPr>
        <w:t>,</w:t>
      </w:r>
      <w:r w:rsidRPr="00E7662B">
        <w:rPr>
          <w:rFonts w:ascii="Century Gothic" w:hAnsi="Century Gothic"/>
        </w:rPr>
        <w:t xml:space="preserve"> y que dichos crímenes </w:t>
      </w:r>
      <w:r w:rsidR="00E760CD" w:rsidRPr="00E7662B">
        <w:rPr>
          <w:rFonts w:ascii="Century Gothic" w:hAnsi="Century Gothic"/>
        </w:rPr>
        <w:t>permanecieron</w:t>
      </w:r>
      <w:r w:rsidRPr="00E7662B">
        <w:rPr>
          <w:rFonts w:ascii="Century Gothic" w:hAnsi="Century Gothic"/>
        </w:rPr>
        <w:t xml:space="preserve"> impunes</w:t>
      </w:r>
      <w:r w:rsidR="001B0E0D" w:rsidRPr="00E7662B">
        <w:rPr>
          <w:rFonts w:ascii="Century Gothic" w:hAnsi="Century Gothic"/>
        </w:rPr>
        <w:t>. Esta impunidad se debe a las graves omisiones en que incurrió el personal que laboraba en la Procuraduría General de Justicia del Estado de Chihuahua</w:t>
      </w:r>
      <w:r w:rsidR="00E760CD" w:rsidRPr="00E7662B">
        <w:rPr>
          <w:rFonts w:ascii="Century Gothic" w:hAnsi="Century Gothic"/>
        </w:rPr>
        <w:t>, q</w:t>
      </w:r>
      <w:r w:rsidR="00852BB4" w:rsidRPr="00E7662B">
        <w:rPr>
          <w:rFonts w:ascii="Century Gothic" w:hAnsi="Century Gothic"/>
        </w:rPr>
        <w:t xml:space="preserve">ue existía en ese momento. </w:t>
      </w:r>
    </w:p>
    <w:p w14:paraId="4B9581CB" w14:textId="57C5B728" w:rsidR="002F2202" w:rsidRPr="00E7662B" w:rsidRDefault="00852BB4" w:rsidP="00E7662B">
      <w:pPr>
        <w:spacing w:line="360" w:lineRule="auto"/>
        <w:jc w:val="both"/>
        <w:rPr>
          <w:rFonts w:ascii="Century Gothic" w:hAnsi="Century Gothic"/>
        </w:rPr>
      </w:pPr>
      <w:r w:rsidRPr="00E7662B">
        <w:rPr>
          <w:rFonts w:ascii="Century Gothic" w:hAnsi="Century Gothic"/>
        </w:rPr>
        <w:t>Las irregularidades incluyen</w:t>
      </w:r>
      <w:r w:rsidR="001B0E0D" w:rsidRPr="00E7662B">
        <w:rPr>
          <w:rFonts w:ascii="Century Gothic" w:hAnsi="Century Gothic"/>
        </w:rPr>
        <w:t>, entre otros,</w:t>
      </w:r>
      <w:r w:rsidRPr="00E7662B">
        <w:rPr>
          <w:rFonts w:ascii="Century Gothic" w:hAnsi="Century Gothic"/>
        </w:rPr>
        <w:t xml:space="preserve"> </w:t>
      </w:r>
      <w:r w:rsidR="00CC4722" w:rsidRPr="00E7662B">
        <w:rPr>
          <w:rFonts w:ascii="Century Gothic" w:hAnsi="Century Gothic"/>
        </w:rPr>
        <w:t xml:space="preserve">la demora en la iniciación de las investigaciones, la lentitud de las mismas o inactividad en los expedientes, </w:t>
      </w:r>
      <w:r w:rsidR="00D42BC7" w:rsidRPr="00E7662B">
        <w:rPr>
          <w:rFonts w:ascii="Century Gothic" w:hAnsi="Century Gothic"/>
        </w:rPr>
        <w:t xml:space="preserve">la </w:t>
      </w:r>
      <w:r w:rsidR="00CC4722" w:rsidRPr="00E7662B">
        <w:rPr>
          <w:rFonts w:ascii="Century Gothic" w:hAnsi="Century Gothic"/>
        </w:rPr>
        <w:t xml:space="preserve">pérdida de información, </w:t>
      </w:r>
      <w:r w:rsidR="00D42BC7" w:rsidRPr="00E7662B">
        <w:rPr>
          <w:rFonts w:ascii="Century Gothic" w:hAnsi="Century Gothic"/>
        </w:rPr>
        <w:t xml:space="preserve">y </w:t>
      </w:r>
      <w:proofErr w:type="spellStart"/>
      <w:r w:rsidR="00D42BC7" w:rsidRPr="00E7662B">
        <w:rPr>
          <w:rFonts w:ascii="Century Gothic" w:hAnsi="Century Gothic"/>
        </w:rPr>
        <w:t>sobretodo</w:t>
      </w:r>
      <w:proofErr w:type="spellEnd"/>
      <w:r w:rsidR="00CC4722" w:rsidRPr="00E7662B">
        <w:rPr>
          <w:rFonts w:ascii="Century Gothic" w:hAnsi="Century Gothic"/>
        </w:rPr>
        <w:t xml:space="preserve"> la falta de contemplación de las agresiones a mujeres como parte de un fenómeno global de violencia de género. Según el Relator sobre la independencia judicial de la ONU, luego de una visita a Ciudad Juárez en el 2001,</w:t>
      </w:r>
      <w:r w:rsidR="00D42BC7" w:rsidRPr="00E7662B">
        <w:rPr>
          <w:rFonts w:ascii="Century Gothic" w:hAnsi="Century Gothic"/>
        </w:rPr>
        <w:t xml:space="preserve"> mencionó que</w:t>
      </w:r>
      <w:r w:rsidR="00CC4722" w:rsidRPr="00E7662B">
        <w:rPr>
          <w:rFonts w:ascii="Century Gothic" w:hAnsi="Century Gothic"/>
        </w:rPr>
        <w:t xml:space="preserve"> “[l]e sorprendió la absoluta ineficacia, incompetencia, indiferencia, insensibilidad y negligencia de la policía que había llevado hasta entonces las indagaciones”. Por su parte, la Fiscalía Especial señaló en su informe del 2006 </w:t>
      </w:r>
      <w:r w:rsidRPr="00E7662B">
        <w:rPr>
          <w:rFonts w:ascii="Century Gothic" w:hAnsi="Century Gothic"/>
        </w:rPr>
        <w:t>que,</w:t>
      </w:r>
      <w:r w:rsidR="00CC4722" w:rsidRPr="00E7662B">
        <w:rPr>
          <w:rFonts w:ascii="Century Gothic" w:hAnsi="Century Gothic"/>
        </w:rPr>
        <w:t xml:space="preserve"> de 139 averiguaciones previas analizadas, en más del 85% se detectaron responsabilidades atribuibles a servidores públicos, graves</w:t>
      </w:r>
      <w:r w:rsidRPr="00E7662B">
        <w:rPr>
          <w:rFonts w:ascii="Century Gothic" w:hAnsi="Century Gothic"/>
        </w:rPr>
        <w:t xml:space="preserve"> deficiencias y omisiones que “entorpecieron la resolución de los homicidios ahí relacionados, provocando impunidad”</w:t>
      </w:r>
      <w:r w:rsidR="00D42BC7" w:rsidRPr="00E7662B">
        <w:rPr>
          <w:rStyle w:val="Refdenotaalpie"/>
          <w:rFonts w:ascii="Century Gothic" w:hAnsi="Century Gothic"/>
        </w:rPr>
        <w:footnoteReference w:id="1"/>
      </w:r>
    </w:p>
    <w:p w14:paraId="649BEA7A" w14:textId="0E88CD42" w:rsidR="00852BB4" w:rsidRPr="00E7662B" w:rsidRDefault="00852BB4" w:rsidP="00E7662B">
      <w:pPr>
        <w:spacing w:line="360" w:lineRule="auto"/>
        <w:jc w:val="both"/>
        <w:rPr>
          <w:rFonts w:ascii="Century Gothic" w:hAnsi="Century Gothic"/>
        </w:rPr>
      </w:pPr>
      <w:r w:rsidRPr="00E7662B">
        <w:rPr>
          <w:rFonts w:ascii="Century Gothic" w:hAnsi="Century Gothic"/>
        </w:rPr>
        <w:t xml:space="preserve">En la misma Sentencia se menciona </w:t>
      </w:r>
      <w:r w:rsidR="00FB2E1F" w:rsidRPr="00E7662B">
        <w:rPr>
          <w:rFonts w:ascii="Century Gothic" w:hAnsi="Century Gothic"/>
        </w:rPr>
        <w:t xml:space="preserve">que las actitudes de las autoridades estatales frente a los homicidios de mujeres en Ciudad Juárez eran notoriamente discriminatorias y dilatorias, describiéndolas como un “alarmante patrón de respuesta y concepciones estereotipadas de las mujeres desaparecidas”. </w:t>
      </w:r>
    </w:p>
    <w:p w14:paraId="19956486" w14:textId="4F10C398" w:rsidR="00D42BC7" w:rsidRPr="00E7662B" w:rsidRDefault="00D42BC7" w:rsidP="00E7662B">
      <w:pPr>
        <w:spacing w:line="360" w:lineRule="auto"/>
        <w:jc w:val="both"/>
        <w:rPr>
          <w:rFonts w:ascii="Century Gothic" w:hAnsi="Century Gothic"/>
        </w:rPr>
      </w:pPr>
      <w:r w:rsidRPr="00E7662B">
        <w:rPr>
          <w:rFonts w:ascii="Century Gothic" w:hAnsi="Century Gothic"/>
        </w:rPr>
        <w:lastRenderedPageBreak/>
        <w:t xml:space="preserve">Se reconoce el esfuerzo que se ha llevado a cabo </w:t>
      </w:r>
      <w:r w:rsidR="0015109A" w:rsidRPr="00E7662B">
        <w:rPr>
          <w:rFonts w:ascii="Century Gothic" w:hAnsi="Century Gothic"/>
        </w:rPr>
        <w:t xml:space="preserve">a partir de esta Sentencia y </w:t>
      </w:r>
      <w:r w:rsidRPr="00E7662B">
        <w:rPr>
          <w:rFonts w:ascii="Century Gothic" w:hAnsi="Century Gothic"/>
        </w:rPr>
        <w:t xml:space="preserve">durante casi </w:t>
      </w:r>
      <w:r w:rsidR="0011635D">
        <w:rPr>
          <w:rFonts w:ascii="Century Gothic" w:hAnsi="Century Gothic"/>
        </w:rPr>
        <w:t>15</w:t>
      </w:r>
      <w:r w:rsidRPr="00E7662B">
        <w:rPr>
          <w:rFonts w:ascii="Century Gothic" w:hAnsi="Century Gothic"/>
        </w:rPr>
        <w:t xml:space="preserve"> años para mejorar la atención a </w:t>
      </w:r>
      <w:r w:rsidR="00AE5959" w:rsidRPr="00E7662B">
        <w:rPr>
          <w:rFonts w:ascii="Century Gothic" w:hAnsi="Century Gothic"/>
        </w:rPr>
        <w:t xml:space="preserve">las </w:t>
      </w:r>
      <w:r w:rsidRPr="00E7662B">
        <w:rPr>
          <w:rFonts w:ascii="Century Gothic" w:hAnsi="Century Gothic"/>
        </w:rPr>
        <w:t xml:space="preserve">mujeres </w:t>
      </w:r>
      <w:r w:rsidR="00AE5959" w:rsidRPr="00E7662B">
        <w:rPr>
          <w:rFonts w:ascii="Century Gothic" w:hAnsi="Century Gothic"/>
        </w:rPr>
        <w:t>víctimas</w:t>
      </w:r>
      <w:r w:rsidRPr="00E7662B">
        <w:rPr>
          <w:rFonts w:ascii="Century Gothic" w:hAnsi="Century Gothic"/>
        </w:rPr>
        <w:t xml:space="preserve"> de violencia</w:t>
      </w:r>
      <w:r w:rsidR="008301E4">
        <w:rPr>
          <w:rFonts w:ascii="Century Gothic" w:hAnsi="Century Gothic"/>
        </w:rPr>
        <w:t xml:space="preserve">. </w:t>
      </w:r>
      <w:r w:rsidRPr="00E7662B">
        <w:rPr>
          <w:rFonts w:ascii="Century Gothic" w:hAnsi="Century Gothic"/>
        </w:rPr>
        <w:t xml:space="preserve"> </w:t>
      </w:r>
      <w:r w:rsidR="008301E4">
        <w:rPr>
          <w:rFonts w:ascii="Century Gothic" w:hAnsi="Century Gothic"/>
        </w:rPr>
        <w:t>L</w:t>
      </w:r>
      <w:r w:rsidRPr="00E7662B">
        <w:rPr>
          <w:rFonts w:ascii="Century Gothic" w:hAnsi="Century Gothic"/>
        </w:rPr>
        <w:t>os avances legislativos, los foros, los cursos, las capacitaciones, las políticas p</w:t>
      </w:r>
      <w:r w:rsidR="008301E4">
        <w:rPr>
          <w:rFonts w:ascii="Century Gothic" w:hAnsi="Century Gothic"/>
        </w:rPr>
        <w:t>ú</w:t>
      </w:r>
      <w:r w:rsidRPr="00E7662B">
        <w:rPr>
          <w:rFonts w:ascii="Century Gothic" w:hAnsi="Century Gothic"/>
        </w:rPr>
        <w:t xml:space="preserve">blicas y las acciones afirmativas han </w:t>
      </w:r>
      <w:r w:rsidR="00AE5959" w:rsidRPr="00E7662B">
        <w:rPr>
          <w:rFonts w:ascii="Century Gothic" w:hAnsi="Century Gothic"/>
        </w:rPr>
        <w:t xml:space="preserve">traído a la mesa </w:t>
      </w:r>
      <w:r w:rsidR="0015109A" w:rsidRPr="00E7662B">
        <w:rPr>
          <w:rFonts w:ascii="Century Gothic" w:hAnsi="Century Gothic"/>
        </w:rPr>
        <w:t xml:space="preserve">y han mantenido </w:t>
      </w:r>
      <w:r w:rsidR="00AE5959" w:rsidRPr="00E7662B">
        <w:rPr>
          <w:rFonts w:ascii="Century Gothic" w:hAnsi="Century Gothic"/>
        </w:rPr>
        <w:t>el tema de la violencia de género</w:t>
      </w:r>
      <w:r w:rsidR="00EA29BF">
        <w:rPr>
          <w:rFonts w:ascii="Century Gothic" w:hAnsi="Century Gothic"/>
        </w:rPr>
        <w:t xml:space="preserve"> vigente</w:t>
      </w:r>
      <w:r w:rsidR="00AE5959" w:rsidRPr="00E7662B">
        <w:rPr>
          <w:rFonts w:ascii="Century Gothic" w:hAnsi="Century Gothic"/>
        </w:rPr>
        <w:t xml:space="preserve"> y de alguna manera</w:t>
      </w:r>
      <w:r w:rsidR="008301E4">
        <w:rPr>
          <w:rFonts w:ascii="Century Gothic" w:hAnsi="Century Gothic"/>
        </w:rPr>
        <w:t>,</w:t>
      </w:r>
      <w:r w:rsidR="00AE5959" w:rsidRPr="00E7662B">
        <w:rPr>
          <w:rFonts w:ascii="Century Gothic" w:hAnsi="Century Gothic"/>
        </w:rPr>
        <w:t xml:space="preserve"> nos ha deconstruido para entender que no son normales las conductas que violentan a las mujeres, pero </w:t>
      </w:r>
      <w:proofErr w:type="spellStart"/>
      <w:r w:rsidR="00AE5959" w:rsidRPr="00E7662B">
        <w:rPr>
          <w:rFonts w:ascii="Century Gothic" w:hAnsi="Century Gothic"/>
        </w:rPr>
        <w:t>sobretodo</w:t>
      </w:r>
      <w:proofErr w:type="spellEnd"/>
      <w:r w:rsidR="00AE5959" w:rsidRPr="00E7662B">
        <w:rPr>
          <w:rFonts w:ascii="Century Gothic" w:hAnsi="Century Gothic"/>
        </w:rPr>
        <w:t xml:space="preserve"> </w:t>
      </w:r>
      <w:r w:rsidR="0015109A" w:rsidRPr="00E7662B">
        <w:rPr>
          <w:rFonts w:ascii="Century Gothic" w:hAnsi="Century Gothic"/>
        </w:rPr>
        <w:t xml:space="preserve">para comprender </w:t>
      </w:r>
      <w:r w:rsidR="00AE5959" w:rsidRPr="00E7662B">
        <w:rPr>
          <w:rFonts w:ascii="Century Gothic" w:hAnsi="Century Gothic"/>
        </w:rPr>
        <w:t xml:space="preserve">la responsabilidad que tenemos todas y todos </w:t>
      </w:r>
      <w:r w:rsidR="0015109A" w:rsidRPr="00E7662B">
        <w:rPr>
          <w:rFonts w:ascii="Century Gothic" w:hAnsi="Century Gothic"/>
        </w:rPr>
        <w:t xml:space="preserve">para combatirla y erradicarla </w:t>
      </w:r>
      <w:r w:rsidR="00AE5959" w:rsidRPr="00E7662B">
        <w:rPr>
          <w:rFonts w:ascii="Century Gothic" w:hAnsi="Century Gothic"/>
        </w:rPr>
        <w:t>en cada uno de los espacios donde nos desenvolvemos</w:t>
      </w:r>
      <w:r w:rsidR="0015109A" w:rsidRPr="00E7662B">
        <w:rPr>
          <w:rFonts w:ascii="Century Gothic" w:hAnsi="Century Gothic"/>
        </w:rPr>
        <w:t>.</w:t>
      </w:r>
      <w:r w:rsidR="00AE5959" w:rsidRPr="00E7662B">
        <w:rPr>
          <w:rFonts w:ascii="Century Gothic" w:hAnsi="Century Gothic"/>
        </w:rPr>
        <w:t xml:space="preserve"> </w:t>
      </w:r>
    </w:p>
    <w:p w14:paraId="66603C35" w14:textId="3BCD829D" w:rsidR="00FB2E1F" w:rsidRDefault="00AE5959" w:rsidP="00E7662B">
      <w:pPr>
        <w:spacing w:line="360" w:lineRule="auto"/>
        <w:jc w:val="both"/>
        <w:rPr>
          <w:rFonts w:ascii="Century Gothic" w:hAnsi="Century Gothic"/>
        </w:rPr>
      </w:pPr>
      <w:r w:rsidRPr="00E7662B">
        <w:rPr>
          <w:rFonts w:ascii="Century Gothic" w:hAnsi="Century Gothic"/>
        </w:rPr>
        <w:t xml:space="preserve">Sin embargo, </w:t>
      </w:r>
      <w:r w:rsidR="00D42BC7" w:rsidRPr="00E7662B">
        <w:rPr>
          <w:rFonts w:ascii="Century Gothic" w:hAnsi="Century Gothic"/>
        </w:rPr>
        <w:t xml:space="preserve">a pesar de todo el avance, seguimos presenciando </w:t>
      </w:r>
      <w:r w:rsidR="0015109A" w:rsidRPr="00E7662B">
        <w:rPr>
          <w:rFonts w:ascii="Century Gothic" w:hAnsi="Century Gothic"/>
        </w:rPr>
        <w:t xml:space="preserve">situaciones en las que las </w:t>
      </w:r>
      <w:r w:rsidR="00D42BC7" w:rsidRPr="00E7662B">
        <w:rPr>
          <w:rFonts w:ascii="Century Gothic" w:hAnsi="Century Gothic"/>
        </w:rPr>
        <w:t>autoridades minimizan el riesgo en el que se encuentran las mujeres</w:t>
      </w:r>
      <w:r w:rsidR="00EF4F39" w:rsidRPr="00E7662B">
        <w:rPr>
          <w:rFonts w:ascii="Century Gothic" w:hAnsi="Century Gothic"/>
        </w:rPr>
        <w:t>,</w:t>
      </w:r>
      <w:r w:rsidR="00D42BC7" w:rsidRPr="00E7662B">
        <w:rPr>
          <w:rFonts w:ascii="Century Gothic" w:hAnsi="Century Gothic"/>
        </w:rPr>
        <w:t xml:space="preserve"> </w:t>
      </w:r>
      <w:proofErr w:type="spellStart"/>
      <w:r w:rsidR="007868BF" w:rsidRPr="00E7662B">
        <w:rPr>
          <w:rFonts w:ascii="Century Gothic" w:hAnsi="Century Gothic"/>
        </w:rPr>
        <w:t>sobretodo</w:t>
      </w:r>
      <w:proofErr w:type="spellEnd"/>
      <w:r w:rsidR="007868BF" w:rsidRPr="00E7662B">
        <w:rPr>
          <w:rFonts w:ascii="Century Gothic" w:hAnsi="Century Gothic"/>
        </w:rPr>
        <w:t xml:space="preserve"> una vez que</w:t>
      </w:r>
      <w:r w:rsidR="00D42BC7" w:rsidRPr="00E7662B">
        <w:rPr>
          <w:rFonts w:ascii="Century Gothic" w:hAnsi="Century Gothic"/>
        </w:rPr>
        <w:t xml:space="preserve"> </w:t>
      </w:r>
      <w:r w:rsidRPr="00E7662B">
        <w:rPr>
          <w:rFonts w:ascii="Century Gothic" w:hAnsi="Century Gothic"/>
        </w:rPr>
        <w:t xml:space="preserve">reportan </w:t>
      </w:r>
      <w:r w:rsidR="00EF4F39" w:rsidRPr="00E7662B">
        <w:rPr>
          <w:rFonts w:ascii="Century Gothic" w:hAnsi="Century Gothic"/>
        </w:rPr>
        <w:t xml:space="preserve">vía telefónica </w:t>
      </w:r>
      <w:r w:rsidRPr="00E7662B">
        <w:rPr>
          <w:rFonts w:ascii="Century Gothic" w:hAnsi="Century Gothic"/>
        </w:rPr>
        <w:t>una situación de violencia o se acercan a la Fiscalía</w:t>
      </w:r>
      <w:r w:rsidR="00D42BC7" w:rsidRPr="00E7662B">
        <w:rPr>
          <w:rFonts w:ascii="Century Gothic" w:hAnsi="Century Gothic"/>
        </w:rPr>
        <w:t xml:space="preserve"> a presentar una denuncia</w:t>
      </w:r>
      <w:r w:rsidRPr="00E7662B">
        <w:rPr>
          <w:rFonts w:ascii="Century Gothic" w:hAnsi="Century Gothic"/>
        </w:rPr>
        <w:t xml:space="preserve">. </w:t>
      </w:r>
    </w:p>
    <w:p w14:paraId="025F33DF" w14:textId="1FE0B460" w:rsidR="00FE229A" w:rsidRPr="00E7662B" w:rsidRDefault="0056662A" w:rsidP="00E7662B">
      <w:pPr>
        <w:spacing w:line="360" w:lineRule="auto"/>
        <w:jc w:val="both"/>
        <w:rPr>
          <w:rFonts w:ascii="Century Gothic" w:hAnsi="Century Gothic" w:cs="Arial"/>
          <w:shd w:val="clear" w:color="auto" w:fill="FFFFFF"/>
        </w:rPr>
      </w:pPr>
      <w:r w:rsidRPr="00E7662B">
        <w:rPr>
          <w:rFonts w:ascii="Century Gothic" w:hAnsi="Century Gothic"/>
        </w:rPr>
        <w:t xml:space="preserve">Sabemos que </w:t>
      </w:r>
      <w:r w:rsidR="00E63A0E" w:rsidRPr="00E7662B">
        <w:rPr>
          <w:rFonts w:ascii="Century Gothic" w:hAnsi="Century Gothic"/>
        </w:rPr>
        <w:t xml:space="preserve">el Estado de </w:t>
      </w:r>
      <w:r w:rsidR="00FE229A" w:rsidRPr="00E7662B">
        <w:rPr>
          <w:rFonts w:ascii="Century Gothic" w:hAnsi="Century Gothic" w:cs="Arial"/>
          <w:shd w:val="clear" w:color="auto" w:fill="FFFFFF"/>
        </w:rPr>
        <w:t xml:space="preserve">Chihuahua se encuentra </w:t>
      </w:r>
      <w:r w:rsidR="00E63A0E" w:rsidRPr="00E7662B">
        <w:rPr>
          <w:rFonts w:ascii="Century Gothic" w:hAnsi="Century Gothic" w:cs="Arial"/>
          <w:shd w:val="clear" w:color="auto" w:fill="FFFFFF"/>
        </w:rPr>
        <w:t xml:space="preserve">entre los primeros lugares con mayor número de </w:t>
      </w:r>
      <w:r w:rsidR="00FE229A" w:rsidRPr="00E7662B">
        <w:rPr>
          <w:rFonts w:ascii="Century Gothic" w:hAnsi="Century Gothic" w:cs="Arial"/>
          <w:shd w:val="clear" w:color="auto" w:fill="FFFFFF"/>
        </w:rPr>
        <w:t xml:space="preserve">presuntos delitos de feminicidios y que el Municipio de Juárez sigue manteniéndose en el primer lugar de 100 municipios del país </w:t>
      </w:r>
      <w:r w:rsidR="00E63A0E" w:rsidRPr="00E7662B">
        <w:rPr>
          <w:rFonts w:ascii="Century Gothic" w:hAnsi="Century Gothic" w:cs="Arial"/>
          <w:shd w:val="clear" w:color="auto" w:fill="FFFFFF"/>
        </w:rPr>
        <w:t>respecto a</w:t>
      </w:r>
      <w:r w:rsidR="00FE229A" w:rsidRPr="00E7662B">
        <w:rPr>
          <w:rFonts w:ascii="Century Gothic" w:hAnsi="Century Gothic" w:cs="Arial"/>
          <w:shd w:val="clear" w:color="auto" w:fill="FFFFFF"/>
        </w:rPr>
        <w:t xml:space="preserve"> este delito.</w:t>
      </w:r>
      <w:r w:rsidR="00E63A0E" w:rsidRPr="00E7662B">
        <w:rPr>
          <w:rFonts w:ascii="Century Gothic" w:hAnsi="Century Gothic" w:cs="Arial"/>
          <w:shd w:val="clear" w:color="auto" w:fill="FFFFFF"/>
        </w:rPr>
        <w:t xml:space="preserve"> También ocupamos como Estado el quinto lugar en homicidios dolosos contra las mujeres</w:t>
      </w:r>
      <w:r w:rsidR="008301E4">
        <w:rPr>
          <w:rFonts w:ascii="Century Gothic" w:hAnsi="Century Gothic" w:cs="Arial"/>
          <w:shd w:val="clear" w:color="auto" w:fill="FFFFFF"/>
        </w:rPr>
        <w:t>,</w:t>
      </w:r>
      <w:r w:rsidR="00E63A0E" w:rsidRPr="00E7662B">
        <w:rPr>
          <w:rFonts w:ascii="Century Gothic" w:hAnsi="Century Gothic" w:cs="Arial"/>
          <w:shd w:val="clear" w:color="auto" w:fill="FFFFFF"/>
        </w:rPr>
        <w:t xml:space="preserve"> </w:t>
      </w:r>
      <w:r w:rsidR="00FE229A" w:rsidRPr="00E7662B">
        <w:rPr>
          <w:rFonts w:ascii="Century Gothic" w:hAnsi="Century Gothic" w:cs="Arial"/>
          <w:shd w:val="clear" w:color="auto" w:fill="FFFFFF"/>
        </w:rPr>
        <w:t>los primeros lugares en los delitos de violencia familiar, violación y abuso sexual. Y el segundo lugar en llamadas de emergencia relacionadas con incidentes de violencia contra la mujer</w:t>
      </w:r>
      <w:r w:rsidR="00FE229A" w:rsidRPr="00E7662B">
        <w:rPr>
          <w:rStyle w:val="Refdenotaalpie"/>
          <w:rFonts w:ascii="Century Gothic" w:hAnsi="Century Gothic" w:cs="Arial"/>
          <w:shd w:val="clear" w:color="auto" w:fill="FFFFFF"/>
        </w:rPr>
        <w:footnoteReference w:id="2"/>
      </w:r>
      <w:r w:rsidR="00FE229A" w:rsidRPr="00E7662B">
        <w:rPr>
          <w:rFonts w:ascii="Century Gothic" w:hAnsi="Century Gothic" w:cs="Arial"/>
          <w:shd w:val="clear" w:color="auto" w:fill="FFFFFF"/>
        </w:rPr>
        <w:t xml:space="preserve">. </w:t>
      </w:r>
    </w:p>
    <w:p w14:paraId="40F1F8A0" w14:textId="537AF742" w:rsidR="00B9295D" w:rsidRDefault="007D7B42" w:rsidP="007D7B42">
      <w:pPr>
        <w:spacing w:line="360" w:lineRule="auto"/>
        <w:jc w:val="both"/>
        <w:rPr>
          <w:rFonts w:ascii="Century Gothic" w:hAnsi="Century Gothic"/>
        </w:rPr>
      </w:pPr>
      <w:r>
        <w:rPr>
          <w:rFonts w:ascii="Century Gothic" w:eastAsia="Calibri" w:hAnsi="Century Gothic" w:cs="Arial"/>
        </w:rPr>
        <w:t>La atención de los servidores públicos a</w:t>
      </w:r>
      <w:r w:rsidR="00E7662B">
        <w:rPr>
          <w:rFonts w:ascii="Century Gothic" w:eastAsia="Calibri" w:hAnsi="Century Gothic" w:cs="Arial"/>
        </w:rPr>
        <w:t xml:space="preserve"> mujeres víctimas de violencia es crucial para </w:t>
      </w:r>
      <w:r>
        <w:rPr>
          <w:rFonts w:ascii="Century Gothic" w:eastAsia="Calibri" w:hAnsi="Century Gothic" w:cs="Arial"/>
        </w:rPr>
        <w:t>preservar su integridad. La responsabilidad que se tiene en el desempeño de sus funciones cobra particular relevancia</w:t>
      </w:r>
      <w:r w:rsidR="00AD024B">
        <w:rPr>
          <w:rFonts w:ascii="Century Gothic" w:eastAsia="Calibri" w:hAnsi="Century Gothic" w:cs="Arial"/>
        </w:rPr>
        <w:t>,</w:t>
      </w:r>
      <w:r>
        <w:rPr>
          <w:rFonts w:ascii="Century Gothic" w:eastAsia="Calibri" w:hAnsi="Century Gothic" w:cs="Arial"/>
        </w:rPr>
        <w:t xml:space="preserve"> pues se espera que a partir del conocimiento de una situación de violencia determin</w:t>
      </w:r>
      <w:r w:rsidR="00EC1567">
        <w:rPr>
          <w:rFonts w:ascii="Century Gothic" w:eastAsia="Calibri" w:hAnsi="Century Gothic" w:cs="Arial"/>
        </w:rPr>
        <w:t>en</w:t>
      </w:r>
      <w:r>
        <w:rPr>
          <w:rFonts w:ascii="Century Gothic" w:eastAsia="Calibri" w:hAnsi="Century Gothic" w:cs="Arial"/>
        </w:rPr>
        <w:t xml:space="preserve"> el correcto proceso a seguir, </w:t>
      </w:r>
      <w:r w:rsidR="002465DF" w:rsidRPr="007D7B42">
        <w:rPr>
          <w:rFonts w:ascii="Century Gothic" w:hAnsi="Century Gothic"/>
        </w:rPr>
        <w:t>estableci</w:t>
      </w:r>
      <w:r w:rsidR="00AD024B">
        <w:rPr>
          <w:rFonts w:ascii="Century Gothic" w:hAnsi="Century Gothic"/>
        </w:rPr>
        <w:t>endo</w:t>
      </w:r>
      <w:r w:rsidR="002465DF" w:rsidRPr="007D7B42">
        <w:rPr>
          <w:rFonts w:ascii="Century Gothic" w:hAnsi="Century Gothic"/>
        </w:rPr>
        <w:t xml:space="preserve"> las medidas pertinentes de protección</w:t>
      </w:r>
      <w:r w:rsidRPr="007D7B42">
        <w:rPr>
          <w:rFonts w:ascii="Century Gothic" w:hAnsi="Century Gothic"/>
        </w:rPr>
        <w:t xml:space="preserve"> y </w:t>
      </w:r>
      <w:r w:rsidR="002465DF" w:rsidRPr="007D7B42">
        <w:rPr>
          <w:rFonts w:ascii="Century Gothic" w:hAnsi="Century Gothic"/>
        </w:rPr>
        <w:t xml:space="preserve">anteponiendo de manera acertada y sin ligereza alguna el interés </w:t>
      </w:r>
      <w:r w:rsidR="00EC1567">
        <w:rPr>
          <w:rFonts w:ascii="Century Gothic" w:hAnsi="Century Gothic"/>
        </w:rPr>
        <w:t>de</w:t>
      </w:r>
      <w:r w:rsidR="002465DF" w:rsidRPr="007D7B42">
        <w:rPr>
          <w:rFonts w:ascii="Century Gothic" w:hAnsi="Century Gothic"/>
        </w:rPr>
        <w:t xml:space="preserve"> </w:t>
      </w:r>
      <w:r w:rsidRPr="007D7B42">
        <w:rPr>
          <w:rFonts w:ascii="Century Gothic" w:hAnsi="Century Gothic"/>
        </w:rPr>
        <w:t>salvaguardar</w:t>
      </w:r>
      <w:r w:rsidR="002465DF" w:rsidRPr="007D7B42">
        <w:rPr>
          <w:rFonts w:ascii="Century Gothic" w:hAnsi="Century Gothic"/>
        </w:rPr>
        <w:t xml:space="preserve"> </w:t>
      </w:r>
      <w:r w:rsidRPr="007D7B42">
        <w:rPr>
          <w:rFonts w:ascii="Century Gothic" w:hAnsi="Century Gothic"/>
        </w:rPr>
        <w:t>a</w:t>
      </w:r>
      <w:r w:rsidR="002465DF" w:rsidRPr="007D7B42">
        <w:rPr>
          <w:rFonts w:ascii="Century Gothic" w:hAnsi="Century Gothic"/>
        </w:rPr>
        <w:t xml:space="preserve"> la víctima. </w:t>
      </w:r>
    </w:p>
    <w:p w14:paraId="6F1AB6BC" w14:textId="3C645138" w:rsidR="00EC1567" w:rsidRPr="00DC6134" w:rsidRDefault="00EC1567" w:rsidP="007D7B42">
      <w:pPr>
        <w:spacing w:line="360" w:lineRule="auto"/>
        <w:jc w:val="both"/>
        <w:rPr>
          <w:rFonts w:ascii="Century Gothic" w:hAnsi="Century Gothic" w:cs="Arial"/>
          <w:shd w:val="clear" w:color="auto" w:fill="FFFFFF"/>
        </w:rPr>
      </w:pPr>
      <w:r w:rsidRPr="00DC6134">
        <w:rPr>
          <w:rFonts w:ascii="Century Gothic" w:hAnsi="Century Gothic" w:cs="Arial"/>
          <w:shd w:val="clear" w:color="auto" w:fill="FFFFFF"/>
        </w:rPr>
        <w:lastRenderedPageBreak/>
        <w:t xml:space="preserve">El feminicidio es la forma más extrema de violencia contra la mujer, </w:t>
      </w:r>
      <w:r w:rsidR="000F2D63" w:rsidRPr="00DC6134">
        <w:rPr>
          <w:rFonts w:ascii="Century Gothic" w:hAnsi="Century Gothic" w:cs="Arial"/>
          <w:shd w:val="clear" w:color="auto" w:fill="FFFFFF"/>
        </w:rPr>
        <w:t xml:space="preserve">sin embargo, en </w:t>
      </w:r>
      <w:r w:rsidR="00DC6134" w:rsidRPr="00DC6134">
        <w:rPr>
          <w:rFonts w:ascii="Century Gothic" w:hAnsi="Century Gothic" w:cs="Arial"/>
          <w:shd w:val="clear" w:color="auto" w:fill="FFFFFF"/>
        </w:rPr>
        <w:t>muchos</w:t>
      </w:r>
      <w:r w:rsidR="000F2D63" w:rsidRPr="00DC6134">
        <w:rPr>
          <w:rFonts w:ascii="Century Gothic" w:hAnsi="Century Gothic" w:cs="Arial"/>
          <w:shd w:val="clear" w:color="auto" w:fill="FFFFFF"/>
        </w:rPr>
        <w:t xml:space="preserve"> casos las mujeres sufren violencia de forma gradual</w:t>
      </w:r>
      <w:r w:rsidR="00DC6134" w:rsidRPr="00DC6134">
        <w:rPr>
          <w:rFonts w:ascii="Century Gothic" w:hAnsi="Century Gothic" w:cs="Arial"/>
          <w:shd w:val="clear" w:color="auto" w:fill="FFFFFF"/>
        </w:rPr>
        <w:t xml:space="preserve"> en su familia o en su trabajo</w:t>
      </w:r>
      <w:r w:rsidR="000F2D63" w:rsidRPr="00DC6134">
        <w:rPr>
          <w:rFonts w:ascii="Century Gothic" w:hAnsi="Century Gothic" w:cs="Arial"/>
          <w:shd w:val="clear" w:color="auto" w:fill="FFFFFF"/>
        </w:rPr>
        <w:t xml:space="preserve">, que va escalando hasta llegar a </w:t>
      </w:r>
      <w:r w:rsidR="00EA29BF">
        <w:rPr>
          <w:rFonts w:ascii="Century Gothic" w:hAnsi="Century Gothic" w:cs="Arial"/>
          <w:shd w:val="clear" w:color="auto" w:fill="FFFFFF"/>
        </w:rPr>
        <w:t xml:space="preserve">estos </w:t>
      </w:r>
      <w:r w:rsidR="00C37D0A" w:rsidRPr="00DC6134">
        <w:rPr>
          <w:rFonts w:ascii="Century Gothic" w:hAnsi="Century Gothic" w:cs="Arial"/>
          <w:shd w:val="clear" w:color="auto" w:fill="FFFFFF"/>
        </w:rPr>
        <w:t xml:space="preserve">actos feminicidas. </w:t>
      </w:r>
    </w:p>
    <w:p w14:paraId="4E648EBE" w14:textId="30E913BE" w:rsidR="00B9295D" w:rsidRDefault="00DC6134" w:rsidP="007D7B42">
      <w:pPr>
        <w:spacing w:line="360" w:lineRule="auto"/>
        <w:jc w:val="both"/>
        <w:rPr>
          <w:rFonts w:ascii="Century Gothic" w:hAnsi="Century Gothic"/>
        </w:rPr>
      </w:pPr>
      <w:r>
        <w:rPr>
          <w:rFonts w:ascii="Century Gothic" w:hAnsi="Century Gothic"/>
        </w:rPr>
        <w:t>E</w:t>
      </w:r>
      <w:r w:rsidR="007D7B42">
        <w:rPr>
          <w:rFonts w:ascii="Century Gothic" w:hAnsi="Century Gothic"/>
        </w:rPr>
        <w:t xml:space="preserve">xisten casos de feminicidio que pudieron haberse evitado por parte de la autoridad responsable </w:t>
      </w:r>
      <w:r w:rsidR="007D7B42" w:rsidRPr="00891E60">
        <w:rPr>
          <w:rFonts w:ascii="Century Gothic" w:hAnsi="Century Gothic"/>
        </w:rPr>
        <w:t xml:space="preserve">de la </w:t>
      </w:r>
      <w:r w:rsidR="002465DF" w:rsidRPr="00891E60">
        <w:rPr>
          <w:rFonts w:ascii="Century Gothic" w:hAnsi="Century Gothic"/>
        </w:rPr>
        <w:t>procuración e impartición de justicia</w:t>
      </w:r>
      <w:r w:rsidR="00525425">
        <w:rPr>
          <w:rFonts w:ascii="Century Gothic" w:hAnsi="Century Gothic"/>
        </w:rPr>
        <w:t>. H</w:t>
      </w:r>
      <w:r w:rsidR="00B9295D" w:rsidRPr="00891E60">
        <w:rPr>
          <w:rFonts w:ascii="Century Gothic" w:hAnsi="Century Gothic"/>
        </w:rPr>
        <w:t xml:space="preserve">an ocurrido casos en los que la autoridad no ha tomado o mantenido las medidas precautorias o de protección necesarias para salvaguardar la integridad física de la víctima, aun sabiendo del riesgo por el que atraviesa, ante los antecedentes y agravios </w:t>
      </w:r>
      <w:r w:rsidR="00525425">
        <w:rPr>
          <w:rFonts w:ascii="Century Gothic" w:hAnsi="Century Gothic"/>
        </w:rPr>
        <w:t>denunciado</w:t>
      </w:r>
      <w:r w:rsidR="00B9295D" w:rsidRPr="00891E60">
        <w:rPr>
          <w:rFonts w:ascii="Century Gothic" w:hAnsi="Century Gothic"/>
        </w:rPr>
        <w:t xml:space="preserve">s. </w:t>
      </w:r>
    </w:p>
    <w:p w14:paraId="34768260" w14:textId="64FEC30D" w:rsidR="0075372E" w:rsidRDefault="00525425" w:rsidP="0075372E">
      <w:pPr>
        <w:spacing w:line="360" w:lineRule="auto"/>
        <w:jc w:val="both"/>
        <w:rPr>
          <w:rFonts w:ascii="Century Gothic" w:hAnsi="Century Gothic"/>
        </w:rPr>
      </w:pPr>
      <w:r>
        <w:rPr>
          <w:rFonts w:ascii="Century Gothic" w:hAnsi="Century Gothic"/>
        </w:rPr>
        <w:t xml:space="preserve">En un estudio realizado en el 2020 por la ONU, </w:t>
      </w:r>
      <w:proofErr w:type="spellStart"/>
      <w:r>
        <w:rPr>
          <w:rFonts w:ascii="Century Gothic" w:hAnsi="Century Gothic"/>
        </w:rPr>
        <w:t>Inmujeres</w:t>
      </w:r>
      <w:proofErr w:type="spellEnd"/>
      <w:r>
        <w:rPr>
          <w:rFonts w:ascii="Century Gothic" w:hAnsi="Century Gothic"/>
        </w:rPr>
        <w:t xml:space="preserve"> y la </w:t>
      </w:r>
      <w:proofErr w:type="spellStart"/>
      <w:r>
        <w:rPr>
          <w:rFonts w:ascii="Century Gothic" w:hAnsi="Century Gothic"/>
        </w:rPr>
        <w:t>Conavim</w:t>
      </w:r>
      <w:proofErr w:type="spellEnd"/>
      <w:r>
        <w:rPr>
          <w:rFonts w:ascii="Century Gothic" w:hAnsi="Century Gothic"/>
        </w:rPr>
        <w:t xml:space="preserve"> denominado cuarto estudio sobre Violencia Feminicida en México: Aproximaciones y Tendencias, se documenta la situación que guardan los delitos violentos contra las mujeres en relación con la violencia feminicida, advirtiendo que muchos de los feminicidios ocurridos en México pudieron evitarse ya que, frente a actos de violencia previa a su muerte, las mujeres pidieron ayuda y no hubo respuesta; cuando lejos de ser escuchadas fueron revictimizadas. </w:t>
      </w:r>
    </w:p>
    <w:p w14:paraId="77EF6B5F" w14:textId="432FE49E" w:rsidR="0075372E" w:rsidRPr="0075372E" w:rsidRDefault="0075372E" w:rsidP="0075372E">
      <w:pPr>
        <w:spacing w:line="360" w:lineRule="auto"/>
        <w:jc w:val="both"/>
        <w:rPr>
          <w:rFonts w:ascii="Century Gothic" w:hAnsi="Century Gothic"/>
        </w:rPr>
      </w:pPr>
      <w:r w:rsidRPr="0075372E">
        <w:rPr>
          <w:rFonts w:ascii="Century Gothic" w:hAnsi="Century Gothic" w:cs="Arial"/>
        </w:rPr>
        <w:t>Quizá el caso más representativo de lo antes citado es el de Abril Pérez Sagaón, quien fuera víctima de violencia familiar por su exesposo, a quien ya había denunciado por agredirla mientras dormía. Después de interponer la denuncia por tentativa de feminicidio, el juez asignado reclasificó el delito a “lesiones y violencia familiar”; y después de una apelación que le fue concedida para retirar la prisión preventiva como medida cautelar, quedó libre. Días posteriores de lo mencionado, Abril fue asesinada con arma de fuego frente a sus hijos</w:t>
      </w:r>
      <w:r w:rsidR="00027202">
        <w:rPr>
          <w:rFonts w:ascii="Century Gothic" w:hAnsi="Century Gothic" w:cs="Arial"/>
        </w:rPr>
        <w:t xml:space="preserve"> en la ciudad de México.</w:t>
      </w:r>
    </w:p>
    <w:p w14:paraId="5903627D" w14:textId="42CA6C62" w:rsidR="00B9295D" w:rsidRDefault="00B9295D" w:rsidP="00DC6134">
      <w:pPr>
        <w:spacing w:line="360" w:lineRule="auto"/>
        <w:jc w:val="both"/>
        <w:rPr>
          <w:rFonts w:ascii="Century Gothic" w:hAnsi="Century Gothic"/>
        </w:rPr>
      </w:pPr>
      <w:r w:rsidRPr="00891E60">
        <w:rPr>
          <w:rFonts w:ascii="Century Gothic" w:hAnsi="Century Gothic"/>
        </w:rPr>
        <w:t xml:space="preserve">La falta de la correcta implementación de la perspectiva de género en la atención de juicios que cuentan con </w:t>
      </w:r>
      <w:r w:rsidR="00525425">
        <w:rPr>
          <w:rFonts w:ascii="Century Gothic" w:hAnsi="Century Gothic"/>
        </w:rPr>
        <w:t>estas características</w:t>
      </w:r>
      <w:r w:rsidRPr="00891E60">
        <w:rPr>
          <w:rFonts w:ascii="Century Gothic" w:hAnsi="Century Gothic"/>
        </w:rPr>
        <w:t xml:space="preserve">, ya sea por negligencia o corrupción en que pudiera incurrir la propia autoridad, puede provocar que una mujer esté expuesta en grado innecesario ante el agresor que ha actuado en contra de ella, estableciendo las condiciones para que el grado de violencia pueda evolucionar y resulte en lesiones mayores, en algunos casos irreparables o en el peor de los casos, en feminicidio. </w:t>
      </w:r>
    </w:p>
    <w:p w14:paraId="3C054497" w14:textId="17F6A493" w:rsidR="00F463D3" w:rsidRDefault="00F463D3" w:rsidP="00DC6134">
      <w:pPr>
        <w:spacing w:line="360" w:lineRule="auto"/>
        <w:jc w:val="both"/>
        <w:rPr>
          <w:rFonts w:ascii="Century Gothic" w:hAnsi="Century Gothic"/>
        </w:rPr>
      </w:pPr>
      <w:r>
        <w:rPr>
          <w:rFonts w:ascii="Century Gothic" w:hAnsi="Century Gothic"/>
        </w:rPr>
        <w:lastRenderedPageBreak/>
        <w:t>De acuerdo con el artículo 18 de la Ley General de Acceso de las Mujeres a Una Vida Libre de Violencia, l</w:t>
      </w:r>
      <w:r w:rsidR="0056662A" w:rsidRPr="00DC6134">
        <w:rPr>
          <w:rFonts w:ascii="Century Gothic" w:hAnsi="Century Gothic"/>
        </w:rPr>
        <w:t>a violencia institucional contra las mujeres se configura cuando las personas servidoras públicas</w:t>
      </w:r>
      <w:r w:rsidR="00525425">
        <w:rPr>
          <w:rFonts w:ascii="Century Gothic" w:hAnsi="Century Gothic"/>
        </w:rPr>
        <w:t xml:space="preserve"> </w:t>
      </w:r>
      <w:r>
        <w:rPr>
          <w:rFonts w:ascii="Century Gothic" w:hAnsi="Century Gothic"/>
        </w:rPr>
        <w:t>(</w:t>
      </w:r>
      <w:r w:rsidR="00525425">
        <w:rPr>
          <w:rFonts w:ascii="Century Gothic" w:hAnsi="Century Gothic"/>
        </w:rPr>
        <w:t>ya se por negligencia, omisión o dolo</w:t>
      </w:r>
      <w:r>
        <w:rPr>
          <w:rFonts w:ascii="Century Gothic" w:hAnsi="Century Gothic"/>
        </w:rPr>
        <w:t>)</w:t>
      </w:r>
      <w:r w:rsidR="00525425">
        <w:rPr>
          <w:rFonts w:ascii="Century Gothic" w:hAnsi="Century Gothic"/>
        </w:rPr>
        <w:t>,</w:t>
      </w:r>
      <w:r w:rsidR="0056662A" w:rsidRPr="00DC6134">
        <w:rPr>
          <w:rFonts w:ascii="Century Gothic" w:hAnsi="Century Gothic"/>
        </w:rPr>
        <w:t xml:space="preserve"> dilatan, obstaculizan o impiden el goce y ejercicio de sus derechos humanos</w:t>
      </w:r>
      <w:r>
        <w:rPr>
          <w:rFonts w:ascii="Century Gothic" w:hAnsi="Century Gothic"/>
        </w:rPr>
        <w:t>,</w:t>
      </w:r>
      <w:r w:rsidR="00E50977">
        <w:rPr>
          <w:rFonts w:ascii="Century Gothic" w:hAnsi="Century Gothic"/>
        </w:rPr>
        <w:t xml:space="preserve"> o </w:t>
      </w:r>
      <w:r w:rsidR="00525425" w:rsidRPr="00891E60">
        <w:rPr>
          <w:rFonts w:ascii="Century Gothic" w:hAnsi="Century Gothic"/>
        </w:rPr>
        <w:t xml:space="preserve">la procuración </w:t>
      </w:r>
      <w:r>
        <w:rPr>
          <w:rFonts w:ascii="Century Gothic" w:hAnsi="Century Gothic"/>
        </w:rPr>
        <w:t xml:space="preserve">y </w:t>
      </w:r>
      <w:r w:rsidR="00525425" w:rsidRPr="00891E60">
        <w:rPr>
          <w:rFonts w:ascii="Century Gothic" w:hAnsi="Century Gothic"/>
        </w:rPr>
        <w:t>administración de la justicia</w:t>
      </w:r>
      <w:r w:rsidR="00E50977">
        <w:rPr>
          <w:rFonts w:ascii="Century Gothic" w:hAnsi="Century Gothic"/>
        </w:rPr>
        <w:t>.</w:t>
      </w:r>
    </w:p>
    <w:p w14:paraId="1D3D3FBB" w14:textId="13A269E2" w:rsidR="00891E60" w:rsidRPr="004B3EB9" w:rsidRDefault="0056662A" w:rsidP="004B3EB9">
      <w:pPr>
        <w:spacing w:line="360" w:lineRule="auto"/>
        <w:jc w:val="both"/>
        <w:rPr>
          <w:rFonts w:ascii="Century Gothic" w:hAnsi="Century Gothic"/>
        </w:rPr>
      </w:pPr>
      <w:r w:rsidRPr="00DC6134">
        <w:rPr>
          <w:rFonts w:ascii="Century Gothic" w:hAnsi="Century Gothic"/>
        </w:rPr>
        <w:t>La impunidad de la violencia agrava sus efectos, posibilita nuevos casos y normaliza las agresiones que sufren las mujeres de todas las edades y contextos, con lo que al mismo tiempo se refuerzan estereotipos, patrones de control y continúan reproduciéndose las desigualdades que ponen a niñas y mujeres en una situación de especial vulnerabilidad.</w:t>
      </w:r>
    </w:p>
    <w:p w14:paraId="7545C293" w14:textId="6D9DDD13" w:rsidR="00693EB3" w:rsidRPr="00A91A04" w:rsidRDefault="004B3EB9" w:rsidP="00A91A04">
      <w:pPr>
        <w:pStyle w:val="NormalWeb"/>
        <w:spacing w:line="360" w:lineRule="auto"/>
        <w:jc w:val="both"/>
        <w:rPr>
          <w:rFonts w:ascii="Century Gothic" w:hAnsi="Century Gothic" w:cs="Arial"/>
          <w:sz w:val="22"/>
          <w:szCs w:val="22"/>
        </w:rPr>
      </w:pPr>
      <w:r w:rsidRPr="00A91A04">
        <w:rPr>
          <w:rFonts w:ascii="Century Gothic" w:hAnsi="Century Gothic" w:cs="Arial"/>
          <w:sz w:val="22"/>
          <w:szCs w:val="22"/>
        </w:rPr>
        <w:t xml:space="preserve">De acuerdo con una investigación realizada por </w:t>
      </w:r>
      <w:r w:rsidR="00CA3DFB" w:rsidRPr="00A91A04">
        <w:rPr>
          <w:rFonts w:ascii="Century Gothic" w:hAnsi="Century Gothic" w:cs="Arial"/>
          <w:color w:val="1F191A"/>
          <w:sz w:val="22"/>
          <w:szCs w:val="22"/>
          <w:shd w:val="clear" w:color="auto" w:fill="FFFFFF"/>
        </w:rPr>
        <w:t>El Hub de Periodismo de Investigación de la Frontera Norte (</w:t>
      </w:r>
      <w:proofErr w:type="spellStart"/>
      <w:r w:rsidR="00CA3DFB" w:rsidRPr="00A91A04">
        <w:rPr>
          <w:rFonts w:ascii="Century Gothic" w:hAnsi="Century Gothic" w:cs="Arial"/>
          <w:color w:val="1F191A"/>
          <w:sz w:val="22"/>
          <w:szCs w:val="22"/>
          <w:shd w:val="clear" w:color="auto" w:fill="FFFFFF"/>
        </w:rPr>
        <w:t>Border</w:t>
      </w:r>
      <w:proofErr w:type="spellEnd"/>
      <w:r w:rsidR="00CA3DFB" w:rsidRPr="00A91A04">
        <w:rPr>
          <w:rFonts w:ascii="Century Gothic" w:hAnsi="Century Gothic" w:cs="Arial"/>
          <w:color w:val="1F191A"/>
          <w:sz w:val="22"/>
          <w:szCs w:val="22"/>
          <w:shd w:val="clear" w:color="auto" w:fill="FFFFFF"/>
        </w:rPr>
        <w:t xml:space="preserve"> Hub)</w:t>
      </w:r>
      <w:r w:rsidR="00A91A04" w:rsidRPr="00A91A04">
        <w:rPr>
          <w:rStyle w:val="Refdenotaalpie"/>
          <w:rFonts w:ascii="Century Gothic" w:hAnsi="Century Gothic" w:cs="Arial"/>
          <w:color w:val="1F191A"/>
          <w:sz w:val="22"/>
          <w:szCs w:val="22"/>
          <w:shd w:val="clear" w:color="auto" w:fill="FFFFFF"/>
        </w:rPr>
        <w:footnoteReference w:id="3"/>
      </w:r>
      <w:r w:rsidRPr="00A91A04">
        <w:rPr>
          <w:rFonts w:ascii="Century Gothic" w:hAnsi="Century Gothic" w:cs="Arial"/>
          <w:sz w:val="22"/>
          <w:szCs w:val="22"/>
        </w:rPr>
        <w:t xml:space="preserve"> publicada en</w:t>
      </w:r>
      <w:r w:rsidR="00CA3DFB" w:rsidRPr="00A91A04">
        <w:rPr>
          <w:rFonts w:ascii="Century Gothic" w:hAnsi="Century Gothic" w:cs="Arial"/>
          <w:sz w:val="22"/>
          <w:szCs w:val="22"/>
        </w:rPr>
        <w:t xml:space="preserve"> enero</w:t>
      </w:r>
      <w:r w:rsidRPr="00A91A04">
        <w:rPr>
          <w:rFonts w:ascii="Century Gothic" w:hAnsi="Century Gothic" w:cs="Arial"/>
          <w:sz w:val="22"/>
          <w:szCs w:val="22"/>
        </w:rPr>
        <w:t xml:space="preserve"> </w:t>
      </w:r>
      <w:r w:rsidR="00CA3DFB" w:rsidRPr="00A91A04">
        <w:rPr>
          <w:rFonts w:ascii="Century Gothic" w:hAnsi="Century Gothic" w:cs="Arial"/>
          <w:sz w:val="22"/>
          <w:szCs w:val="22"/>
        </w:rPr>
        <w:t>d</w:t>
      </w:r>
      <w:r w:rsidRPr="00A91A04">
        <w:rPr>
          <w:rFonts w:ascii="Century Gothic" w:hAnsi="Century Gothic" w:cs="Arial"/>
          <w:sz w:val="22"/>
          <w:szCs w:val="22"/>
        </w:rPr>
        <w:t>el 2023, e</w:t>
      </w:r>
      <w:r w:rsidR="00693EB3" w:rsidRPr="00A91A04">
        <w:rPr>
          <w:rFonts w:ascii="Century Gothic" w:hAnsi="Century Gothic" w:cs="Arial"/>
          <w:sz w:val="22"/>
          <w:szCs w:val="22"/>
        </w:rPr>
        <w:t>l municipio de Cuauhtémoc, que es uno de los cinco que cuentan con ale</w:t>
      </w:r>
      <w:r w:rsidR="00A91A04">
        <w:rPr>
          <w:rFonts w:ascii="Century Gothic" w:hAnsi="Century Gothic" w:cs="Arial"/>
          <w:sz w:val="22"/>
          <w:szCs w:val="22"/>
        </w:rPr>
        <w:t>r</w:t>
      </w:r>
      <w:r w:rsidR="00693EB3" w:rsidRPr="00A91A04">
        <w:rPr>
          <w:rFonts w:ascii="Century Gothic" w:hAnsi="Century Gothic" w:cs="Arial"/>
          <w:sz w:val="22"/>
          <w:szCs w:val="22"/>
        </w:rPr>
        <w:t>ta de género</w:t>
      </w:r>
      <w:r w:rsidRPr="00A91A04">
        <w:rPr>
          <w:rFonts w:ascii="Century Gothic" w:hAnsi="Century Gothic" w:cs="Arial"/>
          <w:sz w:val="22"/>
          <w:szCs w:val="22"/>
        </w:rPr>
        <w:t xml:space="preserve">, </w:t>
      </w:r>
      <w:r w:rsidR="00CA3DFB" w:rsidRPr="00A91A04">
        <w:rPr>
          <w:rFonts w:ascii="Century Gothic" w:hAnsi="Century Gothic" w:cs="Arial"/>
          <w:sz w:val="22"/>
          <w:szCs w:val="22"/>
        </w:rPr>
        <w:t xml:space="preserve">pone en evidencia la inacción de la Fiscalía Especializada en Atención a Mujeres, pues </w:t>
      </w:r>
      <w:r w:rsidR="00A91A04">
        <w:rPr>
          <w:rFonts w:ascii="Century Gothic" w:hAnsi="Century Gothic" w:cs="Arial"/>
          <w:sz w:val="22"/>
          <w:szCs w:val="22"/>
        </w:rPr>
        <w:t>v</w:t>
      </w:r>
      <w:r w:rsidR="00693EB3" w:rsidRPr="00A91A04">
        <w:rPr>
          <w:rFonts w:ascii="Century Gothic" w:hAnsi="Century Gothic" w:cs="Arial"/>
          <w:sz w:val="22"/>
          <w:szCs w:val="22"/>
        </w:rPr>
        <w:t xml:space="preserve">íctimas de la violencia y abogados, </w:t>
      </w:r>
      <w:r w:rsidR="00A91A04" w:rsidRPr="00A91A04">
        <w:rPr>
          <w:rFonts w:ascii="Century Gothic" w:hAnsi="Century Gothic" w:cs="Arial"/>
          <w:sz w:val="22"/>
          <w:szCs w:val="22"/>
        </w:rPr>
        <w:t>expresaron</w:t>
      </w:r>
      <w:r w:rsidR="00CA3DFB" w:rsidRPr="00A91A04">
        <w:rPr>
          <w:rFonts w:ascii="Century Gothic" w:hAnsi="Century Gothic" w:cs="Arial"/>
          <w:sz w:val="22"/>
          <w:szCs w:val="22"/>
        </w:rPr>
        <w:t xml:space="preserve"> las </w:t>
      </w:r>
      <w:r w:rsidR="00693EB3" w:rsidRPr="00A91A04">
        <w:rPr>
          <w:rFonts w:ascii="Century Gothic" w:hAnsi="Century Gothic" w:cs="Arial"/>
          <w:sz w:val="22"/>
          <w:szCs w:val="22"/>
        </w:rPr>
        <w:t xml:space="preserve">dificultades a las que se </w:t>
      </w:r>
      <w:r w:rsidR="00CA3DFB" w:rsidRPr="00A91A04">
        <w:rPr>
          <w:rFonts w:ascii="Century Gothic" w:hAnsi="Century Gothic" w:cs="Arial"/>
          <w:sz w:val="22"/>
          <w:szCs w:val="22"/>
        </w:rPr>
        <w:t>enfrentan</w:t>
      </w:r>
      <w:r w:rsidR="00693EB3" w:rsidRPr="00A91A04">
        <w:rPr>
          <w:rFonts w:ascii="Century Gothic" w:hAnsi="Century Gothic" w:cs="Arial"/>
          <w:sz w:val="22"/>
          <w:szCs w:val="22"/>
        </w:rPr>
        <w:t xml:space="preserve"> en la búsqueda de acceso a la justicia.</w:t>
      </w:r>
      <w:r w:rsidR="00A91A04" w:rsidRPr="00A91A04">
        <w:rPr>
          <w:rFonts w:ascii="Century Gothic" w:hAnsi="Century Gothic" w:cs="Arial"/>
          <w:sz w:val="22"/>
          <w:szCs w:val="22"/>
        </w:rPr>
        <w:t xml:space="preserve"> Y una de las situaciones mencionadas es que n</w:t>
      </w:r>
      <w:r w:rsidR="00CA3DFB" w:rsidRPr="00A91A04">
        <w:rPr>
          <w:rFonts w:ascii="Century Gothic" w:hAnsi="Century Gothic" w:cs="Arial"/>
          <w:sz w:val="22"/>
          <w:szCs w:val="22"/>
        </w:rPr>
        <w:t xml:space="preserve">o se brinda protección a las víctimas, a pesar de denunciar amenazas posteriores a las denuncias. </w:t>
      </w:r>
    </w:p>
    <w:p w14:paraId="513EECC3" w14:textId="2A2545E3" w:rsidR="00111A5C" w:rsidRDefault="00111A5C" w:rsidP="00CE05A8">
      <w:pPr>
        <w:pStyle w:val="NormalWeb"/>
        <w:shd w:val="clear" w:color="auto" w:fill="FFFFFF"/>
        <w:spacing w:before="0" w:beforeAutospacing="0" w:after="150" w:afterAutospacing="0" w:line="360" w:lineRule="auto"/>
        <w:jc w:val="both"/>
        <w:rPr>
          <w:rFonts w:ascii="Century Gothic" w:hAnsi="Century Gothic" w:cs="Open Sans"/>
          <w:color w:val="333333"/>
          <w:sz w:val="22"/>
          <w:szCs w:val="22"/>
        </w:rPr>
      </w:pPr>
      <w:r w:rsidRPr="00CE05A8">
        <w:rPr>
          <w:rFonts w:ascii="Century Gothic" w:hAnsi="Century Gothic"/>
          <w:sz w:val="22"/>
          <w:szCs w:val="22"/>
        </w:rPr>
        <w:t>El 16 de noviembre del 2023, fue publicado en medios el caso de una mujer víctima de violencia</w:t>
      </w:r>
      <w:r w:rsidR="00270649">
        <w:rPr>
          <w:rFonts w:ascii="Century Gothic" w:hAnsi="Century Gothic"/>
          <w:sz w:val="22"/>
          <w:szCs w:val="22"/>
        </w:rPr>
        <w:t xml:space="preserve"> también</w:t>
      </w:r>
      <w:r w:rsidRPr="00CE05A8">
        <w:rPr>
          <w:rFonts w:ascii="Century Gothic" w:hAnsi="Century Gothic"/>
          <w:sz w:val="22"/>
          <w:szCs w:val="22"/>
        </w:rPr>
        <w:t xml:space="preserve"> en la Ciudad de Cuauhtémoc, quien presentó una querella </w:t>
      </w:r>
      <w:r w:rsidR="00CE05A8" w:rsidRPr="00CE05A8">
        <w:rPr>
          <w:rFonts w:ascii="Century Gothic" w:hAnsi="Century Gothic"/>
          <w:sz w:val="22"/>
          <w:szCs w:val="22"/>
        </w:rPr>
        <w:t xml:space="preserve">ante la FEM de la Zona Occidente </w:t>
      </w:r>
      <w:r w:rsidRPr="00CE05A8">
        <w:rPr>
          <w:rFonts w:ascii="Century Gothic" w:hAnsi="Century Gothic"/>
          <w:sz w:val="22"/>
          <w:szCs w:val="22"/>
        </w:rPr>
        <w:t>por violencia de género</w:t>
      </w:r>
      <w:r w:rsidR="00CE05A8" w:rsidRPr="00CE05A8">
        <w:rPr>
          <w:rFonts w:ascii="Century Gothic" w:hAnsi="Century Gothic"/>
          <w:sz w:val="22"/>
          <w:szCs w:val="22"/>
        </w:rPr>
        <w:t xml:space="preserve"> ocurrida en julio del 2022</w:t>
      </w:r>
      <w:r w:rsidRPr="00CE05A8">
        <w:rPr>
          <w:rFonts w:ascii="Century Gothic" w:hAnsi="Century Gothic"/>
          <w:sz w:val="22"/>
          <w:szCs w:val="22"/>
        </w:rPr>
        <w:t xml:space="preserve"> </w:t>
      </w:r>
      <w:r w:rsidR="00CE05A8">
        <w:rPr>
          <w:rFonts w:ascii="Century Gothic" w:hAnsi="Century Gothic"/>
          <w:sz w:val="22"/>
          <w:szCs w:val="22"/>
        </w:rPr>
        <w:t>y</w:t>
      </w:r>
      <w:r w:rsidR="00CE05A8" w:rsidRPr="00CE05A8">
        <w:rPr>
          <w:rFonts w:ascii="Century Gothic" w:hAnsi="Century Gothic"/>
          <w:sz w:val="22"/>
          <w:szCs w:val="22"/>
        </w:rPr>
        <w:t xml:space="preserve"> menciona que </w:t>
      </w:r>
      <w:r w:rsidRPr="00CE05A8">
        <w:rPr>
          <w:rFonts w:ascii="Century Gothic" w:hAnsi="Century Gothic" w:cs="Open Sans"/>
          <w:color w:val="333333"/>
          <w:sz w:val="22"/>
          <w:szCs w:val="22"/>
        </w:rPr>
        <w:t xml:space="preserve">dicha dependencia </w:t>
      </w:r>
      <w:r w:rsidR="00270649">
        <w:rPr>
          <w:rFonts w:ascii="Century Gothic" w:hAnsi="Century Gothic" w:cs="Open Sans"/>
          <w:color w:val="333333"/>
          <w:sz w:val="22"/>
          <w:szCs w:val="22"/>
        </w:rPr>
        <w:t>ha actuado</w:t>
      </w:r>
      <w:r w:rsidRPr="00CE05A8">
        <w:rPr>
          <w:rFonts w:ascii="Century Gothic" w:hAnsi="Century Gothic" w:cs="Open Sans"/>
          <w:color w:val="333333"/>
          <w:sz w:val="22"/>
          <w:szCs w:val="22"/>
        </w:rPr>
        <w:t xml:space="preserve"> de una forma parcial a favor del presunto agresor, a quien afirma, se </w:t>
      </w:r>
      <w:r w:rsidR="00CE05A8" w:rsidRPr="00CE05A8">
        <w:rPr>
          <w:rFonts w:ascii="Century Gothic" w:hAnsi="Century Gothic" w:cs="Open Sans"/>
          <w:color w:val="333333"/>
          <w:sz w:val="22"/>
          <w:szCs w:val="22"/>
        </w:rPr>
        <w:t xml:space="preserve">le </w:t>
      </w:r>
      <w:r w:rsidRPr="00CE05A8">
        <w:rPr>
          <w:rFonts w:ascii="Century Gothic" w:hAnsi="Century Gothic" w:cs="Open Sans"/>
          <w:color w:val="333333"/>
          <w:sz w:val="22"/>
          <w:szCs w:val="22"/>
        </w:rPr>
        <w:t>ha brindado protección al grado de declarar la no existencia del delito, situación que fue</w:t>
      </w:r>
      <w:r w:rsidR="00CE05A8" w:rsidRPr="00CE05A8">
        <w:rPr>
          <w:rFonts w:ascii="Century Gothic" w:hAnsi="Century Gothic" w:cs="Open Sans"/>
          <w:color w:val="333333"/>
          <w:sz w:val="22"/>
          <w:szCs w:val="22"/>
        </w:rPr>
        <w:t xml:space="preserve"> posteriormente fue</w:t>
      </w:r>
      <w:r w:rsidRPr="00CE05A8">
        <w:rPr>
          <w:rFonts w:ascii="Century Gothic" w:hAnsi="Century Gothic" w:cs="Open Sans"/>
          <w:color w:val="333333"/>
          <w:sz w:val="22"/>
          <w:szCs w:val="22"/>
        </w:rPr>
        <w:t xml:space="preserve"> revocada por un juez</w:t>
      </w:r>
      <w:r w:rsidR="00CE05A8">
        <w:rPr>
          <w:rFonts w:ascii="Century Gothic" w:hAnsi="Century Gothic" w:cs="Open Sans"/>
          <w:color w:val="333333"/>
          <w:sz w:val="22"/>
          <w:szCs w:val="22"/>
        </w:rPr>
        <w:t xml:space="preserve">. </w:t>
      </w:r>
      <w:r w:rsidR="00270649">
        <w:rPr>
          <w:rFonts w:ascii="Century Gothic" w:hAnsi="Century Gothic" w:cs="Open Sans"/>
          <w:color w:val="333333"/>
          <w:sz w:val="22"/>
          <w:szCs w:val="22"/>
        </w:rPr>
        <w:t>Sin embargo, la victima denuncia no ser informada sobre</w:t>
      </w:r>
      <w:r w:rsidR="00CE05A8">
        <w:rPr>
          <w:rFonts w:ascii="Century Gothic" w:hAnsi="Century Gothic" w:cs="Open Sans"/>
          <w:color w:val="333333"/>
          <w:sz w:val="22"/>
          <w:szCs w:val="22"/>
        </w:rPr>
        <w:t xml:space="preserve"> su </w:t>
      </w:r>
      <w:r w:rsidR="00CE05A8">
        <w:rPr>
          <w:rFonts w:ascii="Century Gothic" w:hAnsi="Century Gothic" w:cs="Open Sans"/>
          <w:color w:val="333333"/>
          <w:sz w:val="22"/>
          <w:szCs w:val="22"/>
        </w:rPr>
        <w:lastRenderedPageBreak/>
        <w:t xml:space="preserve">caso </w:t>
      </w:r>
      <w:r w:rsidR="00270649">
        <w:rPr>
          <w:rFonts w:ascii="Century Gothic" w:hAnsi="Century Gothic" w:cs="Open Sans"/>
          <w:color w:val="333333"/>
          <w:sz w:val="22"/>
          <w:szCs w:val="22"/>
        </w:rPr>
        <w:t>durante</w:t>
      </w:r>
      <w:r w:rsidR="00CE05A8">
        <w:rPr>
          <w:rFonts w:ascii="Century Gothic" w:hAnsi="Century Gothic" w:cs="Open Sans"/>
          <w:color w:val="333333"/>
          <w:sz w:val="22"/>
          <w:szCs w:val="22"/>
        </w:rPr>
        <w:t xml:space="preserve"> todo este tiempo</w:t>
      </w:r>
      <w:r w:rsidR="00270649">
        <w:rPr>
          <w:rFonts w:ascii="Century Gothic" w:hAnsi="Century Gothic" w:cs="Open Sans"/>
          <w:color w:val="333333"/>
          <w:sz w:val="22"/>
          <w:szCs w:val="22"/>
        </w:rPr>
        <w:t xml:space="preserve">, al contrario, cuando pide su expediente, se le cuestionó que ¿para qué lo quería? </w:t>
      </w:r>
      <w:r w:rsidR="00A91A04">
        <w:rPr>
          <w:rStyle w:val="Refdenotaalpie"/>
          <w:rFonts w:ascii="Century Gothic" w:hAnsi="Century Gothic" w:cs="Open Sans"/>
          <w:color w:val="333333"/>
          <w:sz w:val="22"/>
          <w:szCs w:val="22"/>
        </w:rPr>
        <w:footnoteReference w:id="4"/>
      </w:r>
      <w:r w:rsidR="00CE05A8">
        <w:rPr>
          <w:rFonts w:ascii="Century Gothic" w:hAnsi="Century Gothic" w:cs="Open Sans"/>
          <w:color w:val="333333"/>
          <w:sz w:val="22"/>
          <w:szCs w:val="22"/>
        </w:rPr>
        <w:t xml:space="preserve">. </w:t>
      </w:r>
    </w:p>
    <w:p w14:paraId="6D89AC49" w14:textId="10656060" w:rsidR="00D87C7B" w:rsidRDefault="00270649" w:rsidP="00D87C7B">
      <w:pPr>
        <w:spacing w:line="360" w:lineRule="auto"/>
        <w:jc w:val="both"/>
        <w:rPr>
          <w:rFonts w:ascii="Century Gothic" w:hAnsi="Century Gothic"/>
        </w:rPr>
      </w:pPr>
      <w:r>
        <w:rPr>
          <w:rFonts w:ascii="Century Gothic" w:hAnsi="Century Gothic"/>
        </w:rPr>
        <w:t>Lo anterior es una muestra de</w:t>
      </w:r>
      <w:r w:rsidR="0056662A" w:rsidRPr="00DC6134">
        <w:rPr>
          <w:rFonts w:ascii="Century Gothic" w:hAnsi="Century Gothic"/>
        </w:rPr>
        <w:t xml:space="preserve"> la gravedad de las acciones o decisiones que los servidores públicos toman sin considerar una perspectiva de género; o que de forma maliciosa o negligente retardan y entorpecen la procuración o administración de la justicia, provocando una delicada situación en la víctima al </w:t>
      </w:r>
      <w:r w:rsidR="00E50977">
        <w:rPr>
          <w:rFonts w:ascii="Century Gothic" w:hAnsi="Century Gothic"/>
        </w:rPr>
        <w:t>dejarla</w:t>
      </w:r>
      <w:r w:rsidR="0056662A" w:rsidRPr="00DC6134">
        <w:rPr>
          <w:rFonts w:ascii="Century Gothic" w:hAnsi="Century Gothic"/>
        </w:rPr>
        <w:t xml:space="preserve"> en mayor vulnerabilidad</w:t>
      </w:r>
      <w:r w:rsidR="00AA3D62">
        <w:rPr>
          <w:rFonts w:ascii="Century Gothic" w:hAnsi="Century Gothic"/>
        </w:rPr>
        <w:t>,</w:t>
      </w:r>
      <w:r w:rsidR="0056662A" w:rsidRPr="00DC6134">
        <w:rPr>
          <w:rFonts w:ascii="Century Gothic" w:hAnsi="Century Gothic"/>
        </w:rPr>
        <w:t xml:space="preserve"> en un escenario comprometedor, del cual, lamentablemente en varios casos </w:t>
      </w:r>
      <w:r w:rsidR="00AA3D62">
        <w:rPr>
          <w:rFonts w:ascii="Century Gothic" w:hAnsi="Century Gothic"/>
        </w:rPr>
        <w:t>resulta</w:t>
      </w:r>
      <w:r w:rsidR="0056662A" w:rsidRPr="00DC6134">
        <w:rPr>
          <w:rFonts w:ascii="Century Gothic" w:hAnsi="Century Gothic"/>
        </w:rPr>
        <w:t xml:space="preserve"> como consecuencia el feminicidio; un delito que pudo prevenirse y que termina por ser resultado de una cadena de sucesos en las que se incorporan las acciones u omisiones de las autoridades responsables de la procuración o impartición de justicia, aun teniendo conocimiento de la gravedad de los antecedentes o datos que existían del caso</w:t>
      </w:r>
      <w:r w:rsidR="007E078C">
        <w:rPr>
          <w:rFonts w:ascii="Century Gothic" w:hAnsi="Century Gothic"/>
        </w:rPr>
        <w:t xml:space="preserve">. </w:t>
      </w:r>
    </w:p>
    <w:p w14:paraId="3464036F" w14:textId="6216D02F" w:rsidR="00E50977" w:rsidRDefault="00DC67C6" w:rsidP="00E50977">
      <w:pPr>
        <w:spacing w:line="360" w:lineRule="auto"/>
        <w:jc w:val="both"/>
        <w:rPr>
          <w:rFonts w:ascii="Century Gothic" w:hAnsi="Century Gothic" w:cs="Arial"/>
        </w:rPr>
      </w:pPr>
      <w:r>
        <w:rPr>
          <w:rFonts w:ascii="Century Gothic" w:hAnsi="Century Gothic" w:cs="Arial"/>
        </w:rPr>
        <w:t>También, l</w:t>
      </w:r>
      <w:r w:rsidR="00E50977" w:rsidRPr="00E50977">
        <w:rPr>
          <w:rFonts w:ascii="Century Gothic" w:hAnsi="Century Gothic" w:cs="Arial"/>
        </w:rPr>
        <w:t xml:space="preserve">a presente iniciativa busca que la autoridad responsable de la procuración o impartición de justicia, cuando tenga conocimiento de antecedentes o datos que establezcan que una persona ha cometido cualquier otro tipo de violencia grave hacia una mujer y </w:t>
      </w:r>
      <w:r w:rsidRPr="00E50977">
        <w:rPr>
          <w:rFonts w:ascii="Century Gothic" w:hAnsi="Century Gothic" w:cs="Arial"/>
        </w:rPr>
        <w:t>que,</w:t>
      </w:r>
      <w:r w:rsidR="00E50977" w:rsidRPr="00E50977">
        <w:rPr>
          <w:rFonts w:ascii="Century Gothic" w:hAnsi="Century Gothic" w:cs="Arial"/>
        </w:rPr>
        <w:t xml:space="preserve"> por la acción u omisión de sus funciones</w:t>
      </w:r>
      <w:r w:rsidR="004D5378">
        <w:rPr>
          <w:rFonts w:ascii="Century Gothic" w:hAnsi="Century Gothic" w:cs="Arial"/>
        </w:rPr>
        <w:t xml:space="preserve">, se cometa </w:t>
      </w:r>
      <w:r w:rsidR="00E50977" w:rsidRPr="00E50977">
        <w:rPr>
          <w:rFonts w:ascii="Century Gothic" w:hAnsi="Century Gothic" w:cs="Arial"/>
        </w:rPr>
        <w:t>con posterioridad el delito de feminicidio, sea atribuible la pena correspondiente por su responsabilidad dentro de la comisión del delito.</w:t>
      </w:r>
    </w:p>
    <w:p w14:paraId="7B1A909F" w14:textId="11B97A88" w:rsidR="004D5378" w:rsidRPr="00DC67C6" w:rsidRDefault="004D5378" w:rsidP="004D5378">
      <w:pPr>
        <w:spacing w:line="360" w:lineRule="auto"/>
        <w:jc w:val="both"/>
        <w:rPr>
          <w:rFonts w:ascii="Century Gothic" w:hAnsi="Century Gothic" w:cs="Arial"/>
        </w:rPr>
      </w:pPr>
      <w:r w:rsidRPr="00DC67C6">
        <w:rPr>
          <w:rFonts w:ascii="Century Gothic" w:hAnsi="Century Gothic" w:cs="Arial"/>
        </w:rPr>
        <w:t>Por los anteriores motivos y consideraciones, nos permitimos someter a esta soberanía, el siguiente proyecto de:</w:t>
      </w:r>
    </w:p>
    <w:p w14:paraId="20BC872D" w14:textId="77777777" w:rsidR="004D5378" w:rsidRPr="00DC67C6" w:rsidRDefault="004D5378" w:rsidP="004D5378">
      <w:pPr>
        <w:spacing w:line="360" w:lineRule="auto"/>
        <w:jc w:val="center"/>
        <w:rPr>
          <w:rFonts w:ascii="Century Gothic" w:hAnsi="Century Gothic" w:cs="Arial"/>
          <w:b/>
          <w:bCs/>
        </w:rPr>
      </w:pPr>
      <w:r w:rsidRPr="00DC67C6">
        <w:rPr>
          <w:rFonts w:ascii="Century Gothic" w:hAnsi="Century Gothic" w:cs="Arial"/>
          <w:b/>
          <w:bCs/>
        </w:rPr>
        <w:t xml:space="preserve">D E C R E T O </w:t>
      </w:r>
    </w:p>
    <w:p w14:paraId="7B9A8570" w14:textId="18D3E58C" w:rsidR="004D5378" w:rsidRPr="00DC67C6" w:rsidRDefault="004D5378" w:rsidP="004D5378">
      <w:pPr>
        <w:spacing w:line="360" w:lineRule="auto"/>
        <w:jc w:val="both"/>
        <w:rPr>
          <w:rFonts w:ascii="Century Gothic" w:hAnsi="Century Gothic" w:cs="Arial"/>
        </w:rPr>
      </w:pPr>
      <w:r w:rsidRPr="00DC67C6">
        <w:rPr>
          <w:rFonts w:ascii="Century Gothic" w:hAnsi="Century Gothic" w:cs="Arial"/>
          <w:b/>
          <w:bCs/>
        </w:rPr>
        <w:t xml:space="preserve">ARTICULO PRIMERO. -  </w:t>
      </w:r>
      <w:r w:rsidRPr="00DC67C6">
        <w:rPr>
          <w:rFonts w:ascii="Century Gothic" w:hAnsi="Century Gothic" w:cs="Arial"/>
        </w:rPr>
        <w:t xml:space="preserve">Se </w:t>
      </w:r>
      <w:r w:rsidR="00993397">
        <w:rPr>
          <w:rFonts w:ascii="Century Gothic" w:hAnsi="Century Gothic" w:cs="Arial"/>
        </w:rPr>
        <w:t>adicionan</w:t>
      </w:r>
      <w:r w:rsidRPr="00DC67C6">
        <w:rPr>
          <w:rFonts w:ascii="Century Gothic" w:hAnsi="Century Gothic" w:cs="Arial"/>
        </w:rPr>
        <w:t xml:space="preserve"> dos párrafos al artículo 264 BIS del Código Penal del Estado de Chihuahua referente a Capitulo VIII Negación del Servicio Público para quedar en los siguientes términos:</w:t>
      </w:r>
    </w:p>
    <w:p w14:paraId="71FE0D73" w14:textId="77777777" w:rsidR="004D5378" w:rsidRPr="00DC67C6" w:rsidRDefault="004D5378" w:rsidP="004D5378">
      <w:pPr>
        <w:spacing w:line="360" w:lineRule="auto"/>
        <w:ind w:firstLine="708"/>
        <w:rPr>
          <w:rFonts w:ascii="Century Gothic" w:hAnsi="Century Gothic" w:cs="Arial"/>
          <w:i/>
          <w:iCs/>
        </w:rPr>
      </w:pPr>
      <w:r w:rsidRPr="00DC67C6">
        <w:rPr>
          <w:rFonts w:ascii="Century Gothic" w:hAnsi="Century Gothic" w:cs="Arial"/>
          <w:i/>
          <w:iCs/>
        </w:rPr>
        <w:t>Artículo 264 Bis.</w:t>
      </w:r>
    </w:p>
    <w:p w14:paraId="32EA6AFC" w14:textId="2A77FDB6" w:rsidR="004D5378" w:rsidRPr="00DC67C6" w:rsidRDefault="004D5378" w:rsidP="004D5378">
      <w:pPr>
        <w:spacing w:line="360" w:lineRule="auto"/>
        <w:ind w:firstLine="708"/>
        <w:jc w:val="both"/>
        <w:rPr>
          <w:rFonts w:ascii="Century Gothic" w:hAnsi="Century Gothic" w:cs="Arial"/>
        </w:rPr>
      </w:pPr>
      <w:r w:rsidRPr="00DC67C6">
        <w:rPr>
          <w:rFonts w:ascii="Century Gothic" w:hAnsi="Century Gothic" w:cs="Arial"/>
        </w:rPr>
        <w:t>…</w:t>
      </w:r>
    </w:p>
    <w:p w14:paraId="66172527" w14:textId="6919C498" w:rsidR="004D5378" w:rsidRPr="00DC67C6" w:rsidRDefault="004D5378" w:rsidP="004D5378">
      <w:pPr>
        <w:spacing w:line="360" w:lineRule="auto"/>
        <w:ind w:left="708"/>
        <w:jc w:val="both"/>
        <w:rPr>
          <w:rFonts w:ascii="Century Gothic" w:hAnsi="Century Gothic"/>
          <w:b/>
          <w:bCs/>
          <w:i/>
          <w:iCs/>
        </w:rPr>
      </w:pPr>
      <w:r w:rsidRPr="00DC67C6">
        <w:rPr>
          <w:rFonts w:ascii="Century Gothic" w:hAnsi="Century Gothic"/>
          <w:b/>
          <w:bCs/>
          <w:i/>
          <w:iCs/>
        </w:rPr>
        <w:lastRenderedPageBreak/>
        <w:t xml:space="preserve">Al servidor público que retarde o entorpezca intencionalmente o por negligencia la procuración o administración de justicia se le impondrá pena de prisión de </w:t>
      </w:r>
      <w:r w:rsidR="00807DAB" w:rsidRPr="00DC67C6">
        <w:rPr>
          <w:rFonts w:ascii="Century Gothic" w:hAnsi="Century Gothic"/>
          <w:b/>
          <w:bCs/>
          <w:i/>
          <w:iCs/>
        </w:rPr>
        <w:t>dos</w:t>
      </w:r>
      <w:r w:rsidRPr="00DC67C6">
        <w:rPr>
          <w:rFonts w:ascii="Century Gothic" w:hAnsi="Century Gothic"/>
          <w:b/>
          <w:bCs/>
          <w:i/>
          <w:iCs/>
        </w:rPr>
        <w:t xml:space="preserve"> a </w:t>
      </w:r>
      <w:r w:rsidR="00807DAB" w:rsidRPr="00DC67C6">
        <w:rPr>
          <w:rFonts w:ascii="Century Gothic" w:hAnsi="Century Gothic"/>
          <w:b/>
          <w:bCs/>
          <w:i/>
          <w:iCs/>
        </w:rPr>
        <w:t>siete</w:t>
      </w:r>
      <w:r w:rsidRPr="00DC67C6">
        <w:rPr>
          <w:rFonts w:ascii="Century Gothic" w:hAnsi="Century Gothic"/>
          <w:b/>
          <w:bCs/>
          <w:i/>
          <w:iCs/>
        </w:rPr>
        <w:t xml:space="preserve"> años y de quinientos a mil quinientos días multa, además será destituido e inhabilitado de </w:t>
      </w:r>
      <w:r w:rsidR="00807DAB" w:rsidRPr="00DC67C6">
        <w:rPr>
          <w:rFonts w:ascii="Century Gothic" w:hAnsi="Century Gothic"/>
          <w:b/>
          <w:bCs/>
          <w:i/>
          <w:iCs/>
        </w:rPr>
        <w:t>cinco</w:t>
      </w:r>
      <w:r w:rsidRPr="00DC67C6">
        <w:rPr>
          <w:rFonts w:ascii="Century Gothic" w:hAnsi="Century Gothic"/>
          <w:b/>
          <w:bCs/>
          <w:i/>
          <w:iCs/>
        </w:rPr>
        <w:t xml:space="preserve"> a diez años para desempeñar otro empleo, cargo o comisión públicos.</w:t>
      </w:r>
    </w:p>
    <w:p w14:paraId="724BBAD8" w14:textId="77777777" w:rsidR="00807DAB" w:rsidRPr="00DC67C6" w:rsidRDefault="00807DAB" w:rsidP="004D5378">
      <w:pPr>
        <w:spacing w:line="360" w:lineRule="auto"/>
        <w:ind w:left="708" w:firstLine="2"/>
        <w:jc w:val="both"/>
        <w:rPr>
          <w:rFonts w:ascii="Century Gothic" w:hAnsi="Century Gothic" w:cs="Arial"/>
          <w:b/>
          <w:bCs/>
          <w:i/>
          <w:iCs/>
        </w:rPr>
      </w:pPr>
    </w:p>
    <w:p w14:paraId="15332230" w14:textId="79FA0CD3" w:rsidR="004D5378" w:rsidRPr="00DC67C6" w:rsidRDefault="004D5378" w:rsidP="004D5378">
      <w:pPr>
        <w:spacing w:line="360" w:lineRule="auto"/>
        <w:ind w:left="708" w:firstLine="2"/>
        <w:jc w:val="both"/>
        <w:rPr>
          <w:rFonts w:ascii="Century Gothic" w:hAnsi="Century Gothic" w:cs="Arial"/>
          <w:b/>
          <w:bCs/>
          <w:i/>
          <w:iCs/>
        </w:rPr>
      </w:pPr>
      <w:r w:rsidRPr="00DC67C6">
        <w:rPr>
          <w:rFonts w:ascii="Century Gothic" w:hAnsi="Century Gothic" w:cs="Arial"/>
          <w:b/>
          <w:bCs/>
          <w:i/>
          <w:iCs/>
        </w:rPr>
        <w:t xml:space="preserve">Cuando la autoridad responsable de la procuración o impartición de justicia tenga conocimiento de antecedentes o datos que establezcan que una persona cometió amenazas, acoso, violencia, lesiones o cualquier otro tipo de violencia </w:t>
      </w:r>
      <w:r w:rsidR="00EF3DFC">
        <w:rPr>
          <w:rFonts w:ascii="Century Gothic" w:hAnsi="Century Gothic" w:cs="Arial"/>
          <w:b/>
          <w:bCs/>
          <w:i/>
          <w:iCs/>
        </w:rPr>
        <w:t xml:space="preserve">hacia </w:t>
      </w:r>
      <w:r w:rsidR="00095CD0">
        <w:rPr>
          <w:rFonts w:ascii="Century Gothic" w:hAnsi="Century Gothic" w:cs="Arial"/>
          <w:b/>
          <w:bCs/>
          <w:i/>
          <w:iCs/>
        </w:rPr>
        <w:t>la</w:t>
      </w:r>
      <w:r w:rsidR="00EF3DFC">
        <w:rPr>
          <w:rFonts w:ascii="Century Gothic" w:hAnsi="Century Gothic" w:cs="Arial"/>
          <w:b/>
          <w:bCs/>
          <w:i/>
          <w:iCs/>
        </w:rPr>
        <w:t xml:space="preserve"> mujer, </w:t>
      </w:r>
      <w:r w:rsidRPr="00DC67C6">
        <w:rPr>
          <w:rFonts w:ascii="Century Gothic" w:hAnsi="Century Gothic" w:cs="Arial"/>
          <w:b/>
          <w:bCs/>
          <w:i/>
          <w:iCs/>
        </w:rPr>
        <w:t>en el ámbito familiar, laboral o escolar, en donde quedó expuesta a una situación de riesgo,</w:t>
      </w:r>
      <w:r w:rsidR="001411F8">
        <w:rPr>
          <w:rFonts w:ascii="Century Gothic" w:hAnsi="Century Gothic" w:cs="Arial"/>
          <w:b/>
          <w:bCs/>
          <w:i/>
          <w:iCs/>
        </w:rPr>
        <w:t xml:space="preserve"> así como </w:t>
      </w:r>
      <w:r w:rsidR="00EF3DFC">
        <w:rPr>
          <w:rFonts w:ascii="Century Gothic" w:hAnsi="Century Gothic" w:cs="Arial"/>
          <w:b/>
          <w:bCs/>
          <w:i/>
          <w:iCs/>
        </w:rPr>
        <w:t xml:space="preserve">de </w:t>
      </w:r>
      <w:r w:rsidR="001411F8">
        <w:rPr>
          <w:rFonts w:ascii="Century Gothic" w:hAnsi="Century Gothic" w:cs="Arial"/>
          <w:b/>
          <w:bCs/>
          <w:i/>
          <w:iCs/>
        </w:rPr>
        <w:t>conductas específicas como son abuso de drogas, uso de armas, alcoholismo, confinamiento de la pareja, agresión en contra de familiares o desconocidos,</w:t>
      </w:r>
      <w:r w:rsidRPr="00DC67C6">
        <w:rPr>
          <w:rFonts w:ascii="Century Gothic" w:hAnsi="Century Gothic" w:cs="Arial"/>
          <w:b/>
          <w:bCs/>
          <w:i/>
          <w:iCs/>
        </w:rPr>
        <w:t xml:space="preserve"> y que por la acción u omisión de sus funciones </w:t>
      </w:r>
      <w:r w:rsidR="00870929">
        <w:rPr>
          <w:rFonts w:ascii="Century Gothic" w:hAnsi="Century Gothic" w:cs="Arial"/>
          <w:b/>
          <w:bCs/>
          <w:i/>
          <w:iCs/>
        </w:rPr>
        <w:t>contribuya a</w:t>
      </w:r>
      <w:r w:rsidRPr="00DC67C6">
        <w:rPr>
          <w:rFonts w:ascii="Century Gothic" w:hAnsi="Century Gothic" w:cs="Arial"/>
          <w:b/>
          <w:bCs/>
          <w:i/>
          <w:iCs/>
        </w:rPr>
        <w:t xml:space="preserve"> que con posterioridad se cometa el delito de feminicidio, se les impondrá prisión de </w:t>
      </w:r>
      <w:r w:rsidR="00807DAB" w:rsidRPr="00DC67C6">
        <w:rPr>
          <w:rFonts w:ascii="Century Gothic" w:hAnsi="Century Gothic" w:cs="Arial"/>
          <w:b/>
          <w:bCs/>
          <w:i/>
          <w:iCs/>
        </w:rPr>
        <w:t>tres</w:t>
      </w:r>
      <w:r w:rsidRPr="00DC67C6">
        <w:rPr>
          <w:rFonts w:ascii="Century Gothic" w:hAnsi="Century Gothic" w:cs="Arial"/>
          <w:b/>
          <w:bCs/>
          <w:i/>
          <w:iCs/>
        </w:rPr>
        <w:t xml:space="preserve"> a </w:t>
      </w:r>
      <w:r w:rsidR="00807DAB" w:rsidRPr="00DC67C6">
        <w:rPr>
          <w:rFonts w:ascii="Century Gothic" w:hAnsi="Century Gothic" w:cs="Arial"/>
          <w:b/>
          <w:bCs/>
          <w:i/>
          <w:iCs/>
        </w:rPr>
        <w:t xml:space="preserve">ocho </w:t>
      </w:r>
      <w:r w:rsidRPr="00DC67C6">
        <w:rPr>
          <w:rFonts w:ascii="Century Gothic" w:hAnsi="Century Gothic" w:cs="Arial"/>
          <w:b/>
          <w:bCs/>
          <w:i/>
          <w:iCs/>
        </w:rPr>
        <w:t>años y de mil a dos mil quinientos días multa.</w:t>
      </w:r>
    </w:p>
    <w:p w14:paraId="2B168AF0" w14:textId="77777777" w:rsidR="004D5378" w:rsidRPr="00DC67C6" w:rsidRDefault="004D5378" w:rsidP="004D5378">
      <w:pPr>
        <w:spacing w:line="360" w:lineRule="auto"/>
        <w:rPr>
          <w:rFonts w:ascii="Century Gothic" w:hAnsi="Century Gothic" w:cs="Arial"/>
        </w:rPr>
      </w:pPr>
    </w:p>
    <w:p w14:paraId="1ADCD775" w14:textId="77777777" w:rsidR="004D5378" w:rsidRPr="00DC67C6" w:rsidRDefault="004D5378" w:rsidP="004D5378">
      <w:pPr>
        <w:spacing w:line="360" w:lineRule="auto"/>
        <w:jc w:val="center"/>
        <w:rPr>
          <w:rFonts w:ascii="Century Gothic" w:hAnsi="Century Gothic" w:cs="Arial"/>
          <w:b/>
          <w:bCs/>
        </w:rPr>
      </w:pPr>
      <w:r w:rsidRPr="00DC67C6">
        <w:rPr>
          <w:rFonts w:ascii="Century Gothic" w:hAnsi="Century Gothic" w:cs="Arial"/>
          <w:b/>
          <w:bCs/>
        </w:rPr>
        <w:t>T R A N S I T O R I O S:</w:t>
      </w:r>
    </w:p>
    <w:p w14:paraId="7CBC509A" w14:textId="50409EBF" w:rsidR="004D5378" w:rsidRPr="00DC67C6" w:rsidRDefault="004D5378" w:rsidP="00807DAB">
      <w:pPr>
        <w:spacing w:line="360" w:lineRule="auto"/>
        <w:jc w:val="both"/>
        <w:rPr>
          <w:rFonts w:ascii="Century Gothic" w:hAnsi="Century Gothic" w:cs="Arial"/>
        </w:rPr>
      </w:pPr>
      <w:r w:rsidRPr="00DC67C6">
        <w:rPr>
          <w:rFonts w:ascii="Century Gothic" w:hAnsi="Century Gothic" w:cs="Arial"/>
          <w:b/>
          <w:bCs/>
        </w:rPr>
        <w:t xml:space="preserve">ARTICULO PRIMERO. </w:t>
      </w:r>
      <w:r w:rsidRPr="00DC67C6">
        <w:rPr>
          <w:rFonts w:ascii="Century Gothic" w:hAnsi="Century Gothic" w:cs="Arial"/>
        </w:rPr>
        <w:t>El presente decreto entrara en vigor al día siguiente de su publicación en el Periódico Oficial del Estado.</w:t>
      </w:r>
    </w:p>
    <w:p w14:paraId="5F6D281E" w14:textId="697F164A" w:rsidR="004D5378" w:rsidRPr="00DC67C6" w:rsidRDefault="004D5378" w:rsidP="00807DAB">
      <w:pPr>
        <w:spacing w:line="360" w:lineRule="auto"/>
        <w:jc w:val="both"/>
        <w:rPr>
          <w:rFonts w:ascii="Century Gothic" w:hAnsi="Century Gothic" w:cs="Arial"/>
        </w:rPr>
      </w:pPr>
      <w:r w:rsidRPr="00DC67C6">
        <w:rPr>
          <w:rFonts w:ascii="Century Gothic" w:hAnsi="Century Gothic" w:cs="Arial"/>
          <w:b/>
          <w:bCs/>
        </w:rPr>
        <w:t xml:space="preserve">ECONOMICO: </w:t>
      </w:r>
      <w:r w:rsidRPr="00DC67C6">
        <w:rPr>
          <w:rFonts w:ascii="Century Gothic" w:hAnsi="Century Gothic" w:cs="Arial"/>
        </w:rPr>
        <w:t>Aprobado que sea túrnese a la secretaria de Asuntos Legislativos y Jurídicos para que elabore la minuta de Decreto en los términos que deba publicarse</w:t>
      </w:r>
      <w:r w:rsidR="00807DAB" w:rsidRPr="00DC67C6">
        <w:rPr>
          <w:rFonts w:ascii="Century Gothic" w:hAnsi="Century Gothic" w:cs="Arial"/>
        </w:rPr>
        <w:t>.</w:t>
      </w:r>
      <w:r w:rsidRPr="00DC67C6">
        <w:rPr>
          <w:rFonts w:ascii="Century Gothic" w:hAnsi="Century Gothic" w:cs="Arial"/>
        </w:rPr>
        <w:t xml:space="preserve"> </w:t>
      </w:r>
    </w:p>
    <w:p w14:paraId="79A8F09E" w14:textId="1B4C114E" w:rsidR="004D5378" w:rsidRPr="00DC67C6" w:rsidRDefault="004D5378" w:rsidP="00807DAB">
      <w:pPr>
        <w:spacing w:line="360" w:lineRule="auto"/>
        <w:jc w:val="both"/>
        <w:rPr>
          <w:rFonts w:ascii="Century Gothic" w:hAnsi="Century Gothic" w:cs="Arial"/>
        </w:rPr>
      </w:pPr>
      <w:r w:rsidRPr="00DC67C6">
        <w:rPr>
          <w:rFonts w:ascii="Century Gothic" w:hAnsi="Century Gothic" w:cs="Arial"/>
        </w:rPr>
        <w:t xml:space="preserve">D A D O en el salón de sesiones del Poder Legislativo a los </w:t>
      </w:r>
      <w:r w:rsidR="00807DAB" w:rsidRPr="00DC67C6">
        <w:rPr>
          <w:rFonts w:ascii="Century Gothic" w:hAnsi="Century Gothic" w:cs="Arial"/>
        </w:rPr>
        <w:t>14</w:t>
      </w:r>
      <w:r w:rsidRPr="00DC67C6">
        <w:rPr>
          <w:rFonts w:ascii="Century Gothic" w:hAnsi="Century Gothic" w:cs="Arial"/>
        </w:rPr>
        <w:t xml:space="preserve"> días del mes de </w:t>
      </w:r>
      <w:r w:rsidR="00807DAB" w:rsidRPr="00DC67C6">
        <w:rPr>
          <w:rFonts w:ascii="Century Gothic" w:hAnsi="Century Gothic" w:cs="Arial"/>
        </w:rPr>
        <w:t>diciembre</w:t>
      </w:r>
      <w:r w:rsidRPr="00DC67C6">
        <w:rPr>
          <w:rFonts w:ascii="Century Gothic" w:hAnsi="Century Gothic" w:cs="Arial"/>
        </w:rPr>
        <w:t xml:space="preserve"> del año dos mil veintitrés.</w:t>
      </w:r>
    </w:p>
    <w:sectPr w:rsidR="004D5378" w:rsidRPr="00DC67C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F1D2" w14:textId="77777777" w:rsidR="00C03758" w:rsidRDefault="00C03758" w:rsidP="00D42BC7">
      <w:pPr>
        <w:spacing w:after="0" w:line="240" w:lineRule="auto"/>
      </w:pPr>
      <w:r>
        <w:separator/>
      </w:r>
    </w:p>
  </w:endnote>
  <w:endnote w:type="continuationSeparator" w:id="0">
    <w:p w14:paraId="5931A57F" w14:textId="77777777" w:rsidR="00C03758" w:rsidRDefault="00C03758" w:rsidP="00D4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49B2" w14:textId="77777777" w:rsidR="00C03758" w:rsidRDefault="00C03758" w:rsidP="00D42BC7">
      <w:pPr>
        <w:spacing w:after="0" w:line="240" w:lineRule="auto"/>
      </w:pPr>
      <w:r>
        <w:separator/>
      </w:r>
    </w:p>
  </w:footnote>
  <w:footnote w:type="continuationSeparator" w:id="0">
    <w:p w14:paraId="4D9B6E20" w14:textId="77777777" w:rsidR="00C03758" w:rsidRDefault="00C03758" w:rsidP="00D42BC7">
      <w:pPr>
        <w:spacing w:after="0" w:line="240" w:lineRule="auto"/>
      </w:pPr>
      <w:r>
        <w:continuationSeparator/>
      </w:r>
    </w:p>
  </w:footnote>
  <w:footnote w:id="1">
    <w:p w14:paraId="57104D4D" w14:textId="4DE461B8" w:rsidR="00D42BC7" w:rsidRDefault="00D42BC7">
      <w:pPr>
        <w:pStyle w:val="Textonotapie"/>
      </w:pPr>
      <w:r>
        <w:rPr>
          <w:rStyle w:val="Refdenotaalpie"/>
        </w:rPr>
        <w:footnoteRef/>
      </w:r>
      <w:r>
        <w:t xml:space="preserve"> </w:t>
      </w:r>
      <w:hyperlink r:id="rId1" w:history="1">
        <w:r w:rsidRPr="00E52139">
          <w:rPr>
            <w:rStyle w:val="Hipervnculo"/>
          </w:rPr>
          <w:t>https://www.corteidh.or.cr/docs/casos/articulos/seriec_205_esp.pdf</w:t>
        </w:r>
      </w:hyperlink>
    </w:p>
    <w:p w14:paraId="0B187236" w14:textId="77777777" w:rsidR="00D42BC7" w:rsidRDefault="00D42BC7">
      <w:pPr>
        <w:pStyle w:val="Textonotapie"/>
      </w:pPr>
    </w:p>
  </w:footnote>
  <w:footnote w:id="2">
    <w:p w14:paraId="2BAC74B8" w14:textId="161F45EF" w:rsidR="00FE229A" w:rsidRPr="00891E60" w:rsidRDefault="00FE229A">
      <w:pPr>
        <w:pStyle w:val="Textonotapie"/>
        <w:rPr>
          <w:rFonts w:ascii="Century Gothic" w:hAnsi="Century Gothic" w:cs="Arial"/>
          <w:sz w:val="18"/>
          <w:szCs w:val="18"/>
          <w:shd w:val="clear" w:color="auto" w:fill="FFFFFF"/>
        </w:rPr>
      </w:pPr>
      <w:r>
        <w:rPr>
          <w:rStyle w:val="Refdenotaalpie"/>
        </w:rPr>
        <w:footnoteRef/>
      </w:r>
      <w:r>
        <w:t xml:space="preserve"> </w:t>
      </w:r>
      <w:r w:rsidRPr="00891E60">
        <w:rPr>
          <w:sz w:val="18"/>
          <w:szCs w:val="18"/>
        </w:rPr>
        <w:t>I</w:t>
      </w:r>
      <w:r w:rsidRPr="00891E60">
        <w:rPr>
          <w:rFonts w:ascii="Century Gothic" w:hAnsi="Century Gothic" w:cs="Arial"/>
          <w:sz w:val="18"/>
          <w:szCs w:val="18"/>
          <w:shd w:val="clear" w:color="auto" w:fill="FFFFFF"/>
        </w:rPr>
        <w:t>nforme del Secretariado Ejecutivo del Sistema Nacional de Seguridad</w:t>
      </w:r>
      <w:r w:rsidR="00891E60">
        <w:rPr>
          <w:rFonts w:ascii="Century Gothic" w:hAnsi="Century Gothic" w:cs="Arial"/>
          <w:sz w:val="18"/>
          <w:szCs w:val="18"/>
          <w:shd w:val="clear" w:color="auto" w:fill="FFFFFF"/>
        </w:rPr>
        <w:t xml:space="preserve">. Octubre 2023. </w:t>
      </w:r>
      <w:hyperlink r:id="rId2" w:history="1">
        <w:r w:rsidR="00891E60" w:rsidRPr="00E52139">
          <w:rPr>
            <w:rStyle w:val="Hipervnculo"/>
            <w:rFonts w:ascii="Century Gothic" w:hAnsi="Century Gothic" w:cs="Arial"/>
            <w:sz w:val="18"/>
            <w:szCs w:val="18"/>
            <w:shd w:val="clear" w:color="auto" w:fill="FFFFFF"/>
          </w:rPr>
          <w:t>https://drive.google.com/file/d/1w9l7FUMjHYUgCsGfJmlRaqBlnuZaZOG8/view</w:t>
        </w:r>
      </w:hyperlink>
    </w:p>
    <w:p w14:paraId="72834AEC" w14:textId="77777777" w:rsidR="00FE229A" w:rsidRDefault="00FE229A">
      <w:pPr>
        <w:pStyle w:val="Textonotapie"/>
      </w:pPr>
    </w:p>
  </w:footnote>
  <w:footnote w:id="3">
    <w:p w14:paraId="457DC59A" w14:textId="3C65D6F8" w:rsidR="00A91A04" w:rsidRDefault="00A91A04">
      <w:pPr>
        <w:pStyle w:val="Textonotapie"/>
      </w:pPr>
      <w:r>
        <w:rPr>
          <w:rStyle w:val="Refdenotaalpie"/>
        </w:rPr>
        <w:footnoteRef/>
      </w:r>
      <w:r>
        <w:t xml:space="preserve"> Lidera Municipio de Cuauhtémoc delitos contra mujeres; victimas acusan impunidad. </w:t>
      </w:r>
      <w:hyperlink r:id="rId3" w:history="1">
        <w:r w:rsidRPr="00E52139">
          <w:rPr>
            <w:rStyle w:val="Hipervnculo"/>
          </w:rPr>
          <w:t>https://www.borderhub.org/es/noticias-especiales/aumentan-delitos-contra-mujeres-en-chihuahua/</w:t>
        </w:r>
      </w:hyperlink>
    </w:p>
    <w:p w14:paraId="087C9CE3" w14:textId="77777777" w:rsidR="00A91A04" w:rsidRDefault="00A91A04">
      <w:pPr>
        <w:pStyle w:val="Textonotapie"/>
      </w:pPr>
    </w:p>
  </w:footnote>
  <w:footnote w:id="4">
    <w:p w14:paraId="48134F5A" w14:textId="2D552F7C" w:rsidR="00A91A04" w:rsidRDefault="00A91A04">
      <w:pPr>
        <w:pStyle w:val="Textonotapie"/>
        <w:rPr>
          <w:rFonts w:ascii="Century Gothic" w:hAnsi="Century Gothic"/>
          <w:color w:val="000000"/>
          <w:sz w:val="18"/>
          <w:szCs w:val="18"/>
          <w:shd w:val="clear" w:color="auto" w:fill="FFFFFF"/>
        </w:rPr>
      </w:pPr>
      <w:r>
        <w:rPr>
          <w:rStyle w:val="Refdenotaalpie"/>
        </w:rPr>
        <w:footnoteRef/>
      </w:r>
      <w:r>
        <w:t xml:space="preserve"> </w:t>
      </w:r>
      <w:r w:rsidRPr="00A91A04">
        <w:rPr>
          <w:rFonts w:ascii="Century Gothic" w:hAnsi="Century Gothic"/>
          <w:color w:val="000000"/>
          <w:sz w:val="18"/>
          <w:szCs w:val="18"/>
          <w:shd w:val="clear" w:color="auto" w:fill="FFFFFF"/>
        </w:rPr>
        <w:t>Denuncia víctima de violencia que FEM Zona Occidente actuó a favor de su agresor</w:t>
      </w:r>
      <w:r>
        <w:rPr>
          <w:rFonts w:ascii="Century Gothic" w:hAnsi="Century Gothic"/>
          <w:color w:val="000000"/>
          <w:sz w:val="18"/>
          <w:szCs w:val="18"/>
          <w:shd w:val="clear" w:color="auto" w:fill="FFFFFF"/>
        </w:rPr>
        <w:t xml:space="preserve">. </w:t>
      </w:r>
      <w:hyperlink r:id="rId4" w:history="1">
        <w:r w:rsidRPr="00E52139">
          <w:rPr>
            <w:rStyle w:val="Hipervnculo"/>
            <w:rFonts w:ascii="Century Gothic" w:hAnsi="Century Gothic"/>
            <w:sz w:val="18"/>
            <w:szCs w:val="18"/>
            <w:shd w:val="clear" w:color="auto" w:fill="FFFFFF"/>
          </w:rPr>
          <w:t>https://www.elheraldodechihuahua.com.mx/local/cuauhtemoc/denuncia-victima-de-violencia-que-fem-zona-occidente-actuo-a-favor-de-su-agresor-11013871.html</w:t>
        </w:r>
      </w:hyperlink>
    </w:p>
    <w:p w14:paraId="290B1ADE" w14:textId="77777777" w:rsidR="00A91A04" w:rsidRPr="00A91A04" w:rsidRDefault="00A91A04">
      <w:pPr>
        <w:pStyle w:val="Textonotapie"/>
        <w:rPr>
          <w:rFonts w:ascii="Century Gothic" w:hAnsi="Century Gothic"/>
          <w:sz w:val="2"/>
          <w:szCs w:val="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D3"/>
    <w:rsid w:val="00004C95"/>
    <w:rsid w:val="00027202"/>
    <w:rsid w:val="00090920"/>
    <w:rsid w:val="00095CD0"/>
    <w:rsid w:val="000F2D63"/>
    <w:rsid w:val="00111A5C"/>
    <w:rsid w:val="0011635D"/>
    <w:rsid w:val="001411F8"/>
    <w:rsid w:val="0015109A"/>
    <w:rsid w:val="00190C55"/>
    <w:rsid w:val="001B0E0D"/>
    <w:rsid w:val="001E5791"/>
    <w:rsid w:val="002465DF"/>
    <w:rsid w:val="002616C1"/>
    <w:rsid w:val="00270649"/>
    <w:rsid w:val="002F2202"/>
    <w:rsid w:val="002F7EA6"/>
    <w:rsid w:val="00367E27"/>
    <w:rsid w:val="003B0B86"/>
    <w:rsid w:val="003C2047"/>
    <w:rsid w:val="003D0155"/>
    <w:rsid w:val="004B3EB9"/>
    <w:rsid w:val="004D5378"/>
    <w:rsid w:val="00525425"/>
    <w:rsid w:val="0056662A"/>
    <w:rsid w:val="00630010"/>
    <w:rsid w:val="006648F4"/>
    <w:rsid w:val="006671D3"/>
    <w:rsid w:val="006740B7"/>
    <w:rsid w:val="00693EB3"/>
    <w:rsid w:val="006B6937"/>
    <w:rsid w:val="00705F7D"/>
    <w:rsid w:val="0075372E"/>
    <w:rsid w:val="007868BF"/>
    <w:rsid w:val="007D7B42"/>
    <w:rsid w:val="007E078C"/>
    <w:rsid w:val="00807DAB"/>
    <w:rsid w:val="008301E4"/>
    <w:rsid w:val="008327AD"/>
    <w:rsid w:val="008511D7"/>
    <w:rsid w:val="00852BB4"/>
    <w:rsid w:val="0086703B"/>
    <w:rsid w:val="00870929"/>
    <w:rsid w:val="00891E60"/>
    <w:rsid w:val="008C23F3"/>
    <w:rsid w:val="00912539"/>
    <w:rsid w:val="00993397"/>
    <w:rsid w:val="00A2247B"/>
    <w:rsid w:val="00A24BB1"/>
    <w:rsid w:val="00A91A04"/>
    <w:rsid w:val="00AA3D62"/>
    <w:rsid w:val="00AD024B"/>
    <w:rsid w:val="00AE5959"/>
    <w:rsid w:val="00B9295D"/>
    <w:rsid w:val="00C02658"/>
    <w:rsid w:val="00C03758"/>
    <w:rsid w:val="00C238DC"/>
    <w:rsid w:val="00C37D0A"/>
    <w:rsid w:val="00CA3DFB"/>
    <w:rsid w:val="00CC4722"/>
    <w:rsid w:val="00CE05A8"/>
    <w:rsid w:val="00CF1A22"/>
    <w:rsid w:val="00D42BC7"/>
    <w:rsid w:val="00D87C7B"/>
    <w:rsid w:val="00DA1384"/>
    <w:rsid w:val="00DC6134"/>
    <w:rsid w:val="00DC67C6"/>
    <w:rsid w:val="00E50977"/>
    <w:rsid w:val="00E63A0E"/>
    <w:rsid w:val="00E760CD"/>
    <w:rsid w:val="00E7662B"/>
    <w:rsid w:val="00EA29BF"/>
    <w:rsid w:val="00EC1567"/>
    <w:rsid w:val="00EF3DFC"/>
    <w:rsid w:val="00EF4F39"/>
    <w:rsid w:val="00F463D3"/>
    <w:rsid w:val="00FB2E1F"/>
    <w:rsid w:val="00FB7BA7"/>
    <w:rsid w:val="00FE229A"/>
    <w:rsid w:val="00FF6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40DD"/>
  <w15:chartTrackingRefBased/>
  <w15:docId w15:val="{2DF5D989-70A4-48B6-A898-03F787BC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1A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A3DF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2B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2BC7"/>
    <w:rPr>
      <w:sz w:val="20"/>
      <w:szCs w:val="20"/>
    </w:rPr>
  </w:style>
  <w:style w:type="character" w:styleId="Refdenotaalpie">
    <w:name w:val="footnote reference"/>
    <w:basedOn w:val="Fuentedeprrafopredeter"/>
    <w:uiPriority w:val="99"/>
    <w:semiHidden/>
    <w:unhideWhenUsed/>
    <w:rsid w:val="00D42BC7"/>
    <w:rPr>
      <w:vertAlign w:val="superscript"/>
    </w:rPr>
  </w:style>
  <w:style w:type="character" w:styleId="Hipervnculo">
    <w:name w:val="Hyperlink"/>
    <w:basedOn w:val="Fuentedeprrafopredeter"/>
    <w:uiPriority w:val="99"/>
    <w:unhideWhenUsed/>
    <w:rsid w:val="00D42BC7"/>
    <w:rPr>
      <w:color w:val="0563C1" w:themeColor="hyperlink"/>
      <w:u w:val="single"/>
    </w:rPr>
  </w:style>
  <w:style w:type="character" w:styleId="Mencinsinresolver">
    <w:name w:val="Unresolved Mention"/>
    <w:basedOn w:val="Fuentedeprrafopredeter"/>
    <w:uiPriority w:val="99"/>
    <w:semiHidden/>
    <w:unhideWhenUsed/>
    <w:rsid w:val="00D42BC7"/>
    <w:rPr>
      <w:color w:val="605E5C"/>
      <w:shd w:val="clear" w:color="auto" w:fill="E1DFDD"/>
    </w:rPr>
  </w:style>
  <w:style w:type="character" w:styleId="Textoennegrita">
    <w:name w:val="Strong"/>
    <w:basedOn w:val="Fuentedeprrafopredeter"/>
    <w:uiPriority w:val="22"/>
    <w:qFormat/>
    <w:rsid w:val="00090920"/>
    <w:rPr>
      <w:b/>
      <w:bCs/>
    </w:rPr>
  </w:style>
  <w:style w:type="paragraph" w:styleId="NormalWeb">
    <w:name w:val="Normal (Web)"/>
    <w:basedOn w:val="Normal"/>
    <w:uiPriority w:val="99"/>
    <w:unhideWhenUsed/>
    <w:rsid w:val="00111A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CA3DF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91A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8524">
      <w:bodyDiv w:val="1"/>
      <w:marLeft w:val="0"/>
      <w:marRight w:val="0"/>
      <w:marTop w:val="0"/>
      <w:marBottom w:val="0"/>
      <w:divBdr>
        <w:top w:val="none" w:sz="0" w:space="0" w:color="auto"/>
        <w:left w:val="none" w:sz="0" w:space="0" w:color="auto"/>
        <w:bottom w:val="none" w:sz="0" w:space="0" w:color="auto"/>
        <w:right w:val="none" w:sz="0" w:space="0" w:color="auto"/>
      </w:divBdr>
    </w:div>
    <w:div w:id="610749756">
      <w:bodyDiv w:val="1"/>
      <w:marLeft w:val="0"/>
      <w:marRight w:val="0"/>
      <w:marTop w:val="0"/>
      <w:marBottom w:val="0"/>
      <w:divBdr>
        <w:top w:val="none" w:sz="0" w:space="0" w:color="auto"/>
        <w:left w:val="none" w:sz="0" w:space="0" w:color="auto"/>
        <w:bottom w:val="none" w:sz="0" w:space="0" w:color="auto"/>
        <w:right w:val="none" w:sz="0" w:space="0" w:color="auto"/>
      </w:divBdr>
    </w:div>
    <w:div w:id="867832386">
      <w:bodyDiv w:val="1"/>
      <w:marLeft w:val="0"/>
      <w:marRight w:val="0"/>
      <w:marTop w:val="0"/>
      <w:marBottom w:val="0"/>
      <w:divBdr>
        <w:top w:val="none" w:sz="0" w:space="0" w:color="auto"/>
        <w:left w:val="none" w:sz="0" w:space="0" w:color="auto"/>
        <w:bottom w:val="none" w:sz="0" w:space="0" w:color="auto"/>
        <w:right w:val="none" w:sz="0" w:space="0" w:color="auto"/>
      </w:divBdr>
    </w:div>
    <w:div w:id="1083987129">
      <w:bodyDiv w:val="1"/>
      <w:marLeft w:val="0"/>
      <w:marRight w:val="0"/>
      <w:marTop w:val="0"/>
      <w:marBottom w:val="0"/>
      <w:divBdr>
        <w:top w:val="none" w:sz="0" w:space="0" w:color="auto"/>
        <w:left w:val="none" w:sz="0" w:space="0" w:color="auto"/>
        <w:bottom w:val="none" w:sz="0" w:space="0" w:color="auto"/>
        <w:right w:val="none" w:sz="0" w:space="0" w:color="auto"/>
      </w:divBdr>
    </w:div>
    <w:div w:id="1525049694">
      <w:bodyDiv w:val="1"/>
      <w:marLeft w:val="0"/>
      <w:marRight w:val="0"/>
      <w:marTop w:val="0"/>
      <w:marBottom w:val="0"/>
      <w:divBdr>
        <w:top w:val="none" w:sz="0" w:space="0" w:color="auto"/>
        <w:left w:val="none" w:sz="0" w:space="0" w:color="auto"/>
        <w:bottom w:val="none" w:sz="0" w:space="0" w:color="auto"/>
        <w:right w:val="none" w:sz="0" w:space="0" w:color="auto"/>
      </w:divBdr>
      <w:divsChild>
        <w:div w:id="653216524">
          <w:marLeft w:val="0"/>
          <w:marRight w:val="0"/>
          <w:marTop w:val="0"/>
          <w:marBottom w:val="0"/>
          <w:divBdr>
            <w:top w:val="none" w:sz="0" w:space="0" w:color="auto"/>
            <w:left w:val="none" w:sz="0" w:space="0" w:color="auto"/>
            <w:bottom w:val="none" w:sz="0" w:space="0" w:color="auto"/>
            <w:right w:val="none" w:sz="0" w:space="0" w:color="auto"/>
          </w:divBdr>
          <w:divsChild>
            <w:div w:id="14066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7506">
      <w:bodyDiv w:val="1"/>
      <w:marLeft w:val="0"/>
      <w:marRight w:val="0"/>
      <w:marTop w:val="0"/>
      <w:marBottom w:val="0"/>
      <w:divBdr>
        <w:top w:val="none" w:sz="0" w:space="0" w:color="auto"/>
        <w:left w:val="none" w:sz="0" w:space="0" w:color="auto"/>
        <w:bottom w:val="none" w:sz="0" w:space="0" w:color="auto"/>
        <w:right w:val="none" w:sz="0" w:space="0" w:color="auto"/>
      </w:divBdr>
    </w:div>
    <w:div w:id="1718553552">
      <w:bodyDiv w:val="1"/>
      <w:marLeft w:val="0"/>
      <w:marRight w:val="0"/>
      <w:marTop w:val="0"/>
      <w:marBottom w:val="0"/>
      <w:divBdr>
        <w:top w:val="none" w:sz="0" w:space="0" w:color="auto"/>
        <w:left w:val="none" w:sz="0" w:space="0" w:color="auto"/>
        <w:bottom w:val="none" w:sz="0" w:space="0" w:color="auto"/>
        <w:right w:val="none" w:sz="0" w:space="0" w:color="auto"/>
      </w:divBdr>
    </w:div>
    <w:div w:id="1802841015">
      <w:bodyDiv w:val="1"/>
      <w:marLeft w:val="0"/>
      <w:marRight w:val="0"/>
      <w:marTop w:val="0"/>
      <w:marBottom w:val="0"/>
      <w:divBdr>
        <w:top w:val="none" w:sz="0" w:space="0" w:color="auto"/>
        <w:left w:val="none" w:sz="0" w:space="0" w:color="auto"/>
        <w:bottom w:val="none" w:sz="0" w:space="0" w:color="auto"/>
        <w:right w:val="none" w:sz="0" w:space="0" w:color="auto"/>
      </w:divBdr>
      <w:divsChild>
        <w:div w:id="85271643">
          <w:marLeft w:val="0"/>
          <w:marRight w:val="0"/>
          <w:marTop w:val="0"/>
          <w:marBottom w:val="0"/>
          <w:divBdr>
            <w:top w:val="none" w:sz="0" w:space="0" w:color="auto"/>
            <w:left w:val="none" w:sz="0" w:space="0" w:color="auto"/>
            <w:bottom w:val="none" w:sz="0" w:space="0" w:color="auto"/>
            <w:right w:val="none" w:sz="0" w:space="0" w:color="auto"/>
          </w:divBdr>
          <w:divsChild>
            <w:div w:id="628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borderhub.org/es/noticias-especiales/aumentan-delitos-contra-mujeres-en-chihuahua/" TargetMode="External"/><Relationship Id="rId2" Type="http://schemas.openxmlformats.org/officeDocument/2006/relationships/hyperlink" Target="https://drive.google.com/file/d/1w9l7FUMjHYUgCsGfJmlRaqBlnuZaZOG8/view" TargetMode="External"/><Relationship Id="rId1" Type="http://schemas.openxmlformats.org/officeDocument/2006/relationships/hyperlink" Target="https://www.corteidh.or.cr/docs/casos/articulos/seriec_205_esp.pdf" TargetMode="External"/><Relationship Id="rId4" Type="http://schemas.openxmlformats.org/officeDocument/2006/relationships/hyperlink" Target="https://www.elheraldodechihuahua.com.mx/local/cuauhtemoc/denuncia-victima-de-violencia-que-fem-zona-occidente-actuo-a-favor-de-su-agresor-1101387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122D-3ED8-4827-9842-FCF85379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Brenda Sarahi Gonzalez Dominguez</cp:lastModifiedBy>
  <cp:revision>2</cp:revision>
  <dcterms:created xsi:type="dcterms:W3CDTF">2023-12-13T20:39:00Z</dcterms:created>
  <dcterms:modified xsi:type="dcterms:W3CDTF">2023-12-13T20:39:00Z</dcterms:modified>
</cp:coreProperties>
</file>