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46A4" w:rsidRDefault="009A46A4">
      <w:pPr>
        <w:spacing w:before="240" w:after="24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00000002" w14:textId="77777777" w:rsidR="009A46A4" w:rsidRDefault="00905060">
      <w:pPr>
        <w:spacing w:before="240" w:after="240" w:line="360" w:lineRule="auto"/>
        <w:ind w:left="85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H. CONGRESO DEL ESTADO DE CHIHUAHUA</w:t>
      </w:r>
    </w:p>
    <w:p w14:paraId="00000003" w14:textId="77777777" w:rsidR="009A46A4" w:rsidRDefault="00905060">
      <w:pPr>
        <w:spacing w:before="240" w:after="240" w:line="360" w:lineRule="auto"/>
        <w:ind w:left="85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PRESENTE.-</w:t>
      </w:r>
    </w:p>
    <w:p w14:paraId="00000004" w14:textId="77777777" w:rsidR="009A46A4" w:rsidRDefault="00905060">
      <w:pPr>
        <w:spacing w:before="240" w:after="240" w:line="360" w:lineRule="auto"/>
        <w:ind w:left="85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00000005" w14:textId="77777777" w:rsidR="009A46A4" w:rsidRDefault="00905060">
      <w:pPr>
        <w:spacing w:before="240" w:after="240" w:line="360" w:lineRule="auto"/>
        <w:ind w:left="850" w:firstLine="589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</w:rPr>
        <w:t xml:space="preserve">El suscrito </w:t>
      </w:r>
      <w:r>
        <w:rPr>
          <w:rFonts w:ascii="Century Gothic" w:eastAsia="Century Gothic" w:hAnsi="Century Gothic" w:cs="Century Gothic"/>
          <w:b/>
        </w:rPr>
        <w:t>Francisco Adrián Sánchez Villegas</w:t>
      </w:r>
      <w:r>
        <w:rPr>
          <w:rFonts w:ascii="Century Gothic" w:eastAsia="Century Gothic" w:hAnsi="Century Gothic" w:cs="Century Gothic"/>
        </w:rPr>
        <w:t>, en mi carácter de Diputado de la Sexagésima Séptima Legislatura y como Coordinador del Grupo Parlamentario del Partido Movimiento Ciudadano, con fundamento en los artículos 64 fracción I y II de la Constitución Política del Estado; 167 fracción I de la L</w:t>
      </w:r>
      <w:r>
        <w:rPr>
          <w:rFonts w:ascii="Century Gothic" w:eastAsia="Century Gothic" w:hAnsi="Century Gothic" w:cs="Century Gothic"/>
        </w:rPr>
        <w:t xml:space="preserve">ey Orgánica del Poder Legislativo del Estado de Chihuahua; 75, 76 y 77 del Reglamento Interior y de Prácticas Parlamentarias del Poder Legislativo, a efecto de presentar la Iniciativa con carácter de Decreto por la cual se </w:t>
      </w:r>
      <w:r>
        <w:rPr>
          <w:rFonts w:ascii="Century Gothic" w:eastAsia="Century Gothic" w:hAnsi="Century Gothic" w:cs="Century Gothic"/>
          <w:b/>
        </w:rPr>
        <w:t xml:space="preserve">REFORMA </w:t>
      </w:r>
      <w:r>
        <w:rPr>
          <w:rFonts w:ascii="Century Gothic" w:eastAsia="Century Gothic" w:hAnsi="Century Gothic" w:cs="Century Gothic"/>
          <w:highlight w:val="white"/>
        </w:rPr>
        <w:t>el tercer párrafo del art</w:t>
      </w:r>
      <w:r>
        <w:rPr>
          <w:rFonts w:ascii="Century Gothic" w:eastAsia="Century Gothic" w:hAnsi="Century Gothic" w:cs="Century Gothic"/>
          <w:highlight w:val="white"/>
        </w:rPr>
        <w:t>ículo 27 de la Ley Estatal de Salud.</w:t>
      </w:r>
    </w:p>
    <w:p w14:paraId="00000006" w14:textId="77777777" w:rsidR="009A46A4" w:rsidRDefault="00905060">
      <w:pPr>
        <w:spacing w:before="240" w:after="240" w:line="360" w:lineRule="auto"/>
        <w:ind w:left="85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 anterior, de conformidad con la siguiente:</w:t>
      </w:r>
    </w:p>
    <w:p w14:paraId="00000007" w14:textId="77777777" w:rsidR="009A46A4" w:rsidRDefault="00905060">
      <w:pPr>
        <w:pStyle w:val="Ttulo1"/>
        <w:keepNext w:val="0"/>
        <w:keepLines w:val="0"/>
        <w:spacing w:before="480" w:line="360" w:lineRule="auto"/>
        <w:ind w:left="850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vi0y7xjzkumh" w:colFirst="0" w:colLast="0"/>
      <w:bookmarkEnd w:id="0"/>
      <w:r>
        <w:rPr>
          <w:rFonts w:ascii="Century Gothic" w:eastAsia="Century Gothic" w:hAnsi="Century Gothic" w:cs="Century Gothic"/>
          <w:b/>
          <w:sz w:val="22"/>
          <w:szCs w:val="22"/>
        </w:rPr>
        <w:t>EXPOSICIÓN DE MOTIVOS</w:t>
      </w:r>
    </w:p>
    <w:p w14:paraId="00000008" w14:textId="77777777" w:rsidR="009A46A4" w:rsidRDefault="009A46A4"/>
    <w:p w14:paraId="00000009" w14:textId="77777777" w:rsidR="009A46A4" w:rsidRDefault="009A46A4"/>
    <w:p w14:paraId="0000000A" w14:textId="77777777" w:rsidR="009A46A4" w:rsidRDefault="00905060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Consejo Estatal de Salud como parte de sus acciones en conjunto con la  Secretaría de Salud, tiene el objeto de integrar los programas interinstit</w:t>
      </w:r>
      <w:r>
        <w:rPr>
          <w:rFonts w:ascii="Century Gothic" w:eastAsia="Century Gothic" w:hAnsi="Century Gothic" w:cs="Century Gothic"/>
        </w:rPr>
        <w:t>ucionales de salud en beneficio de la sociedad, mediante la deliberación así como la promoción, además de fungir como órgano de consulta y asesoría en materia de salud.</w:t>
      </w:r>
    </w:p>
    <w:p w14:paraId="0000000B" w14:textId="77777777" w:rsidR="009A46A4" w:rsidRDefault="009A46A4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</w:p>
    <w:p w14:paraId="0000000C" w14:textId="77777777" w:rsidR="009A46A4" w:rsidRDefault="00905060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Consejo Estatal de Salud, ha sido parte importante y fundamental en estos tiempos d</w:t>
      </w:r>
      <w:r>
        <w:rPr>
          <w:rFonts w:ascii="Century Gothic" w:eastAsia="Century Gothic" w:hAnsi="Century Gothic" w:cs="Century Gothic"/>
        </w:rPr>
        <w:t>e pandemia, ya que tras los análisis detallados de esta situación han determinado decisiones tales como:</w:t>
      </w:r>
    </w:p>
    <w:p w14:paraId="0000000D" w14:textId="77777777" w:rsidR="009A46A4" w:rsidRDefault="00905060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-Cierre o reducción de aforo de bares, restaurantes, supermercados entre otros.</w:t>
      </w:r>
    </w:p>
    <w:p w14:paraId="0000000E" w14:textId="77777777" w:rsidR="009A46A4" w:rsidRDefault="00905060">
      <w:pPr>
        <w:spacing w:line="360" w:lineRule="auto"/>
        <w:ind w:left="1440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color w:val="3B3B3B"/>
          <w:highlight w:val="white"/>
        </w:rPr>
        <w:t>-I</w:t>
      </w:r>
      <w:r>
        <w:rPr>
          <w:rFonts w:ascii="Century Gothic" w:eastAsia="Century Gothic" w:hAnsi="Century Gothic" w:cs="Century Gothic"/>
          <w:highlight w:val="white"/>
        </w:rPr>
        <w:t>ncremento de recursos para hospitales que atienden a pacientes COVID.</w:t>
      </w:r>
    </w:p>
    <w:p w14:paraId="0000000F" w14:textId="77777777" w:rsidR="009A46A4" w:rsidRDefault="00905060">
      <w:pPr>
        <w:spacing w:line="360" w:lineRule="auto"/>
        <w:ind w:left="1440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>-El esquema del regreso a clases presenciales, virtuales y mixtas.</w:t>
      </w:r>
    </w:p>
    <w:p w14:paraId="00000010" w14:textId="77777777" w:rsidR="009A46A4" w:rsidRDefault="009A46A4">
      <w:pPr>
        <w:spacing w:line="360" w:lineRule="auto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1" w14:textId="77777777" w:rsidR="009A46A4" w:rsidRDefault="00905060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Las sesiones del Consejo Estatal de Salud, son cada seis meses o de manera extraordinaria a solicitud del Presidente o del Secretario Ejecutivo, en donde solo estarán participando quienes</w:t>
      </w:r>
      <w:r>
        <w:rPr>
          <w:rFonts w:ascii="Century Gothic" w:eastAsia="Century Gothic" w:hAnsi="Century Gothic" w:cs="Century Gothic"/>
        </w:rPr>
        <w:t xml:space="preserve"> integran este consejo, representantes de los sectores público, privado, académico y social por invitación del Secretario Ejecutivo.</w:t>
      </w:r>
    </w:p>
    <w:p w14:paraId="00000012" w14:textId="77777777" w:rsidR="009A46A4" w:rsidRDefault="009A46A4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</w:p>
    <w:p w14:paraId="00000013" w14:textId="77777777" w:rsidR="009A46A4" w:rsidRDefault="00905060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Las citadas sesiones violan el principio de publicidad, el cual se refiere a compartir</w:t>
      </w:r>
      <w:r>
        <w:rPr>
          <w:rFonts w:ascii="Century Gothic" w:eastAsia="Century Gothic" w:hAnsi="Century Gothic" w:cs="Century Gothic"/>
          <w:color w:val="202124"/>
          <w:highlight w:val="white"/>
        </w:rPr>
        <w:t xml:space="preserve"> la posibilidad de que los actos sean presentados con público atendiendo a las normas de prevención por la COVID-19 o incluso mediante plataformas digitales, para quienes no participan como integrantes, funcionarios o auxiliares, debido a que son a puerta </w:t>
      </w:r>
      <w:r>
        <w:rPr>
          <w:rFonts w:ascii="Century Gothic" w:eastAsia="Century Gothic" w:hAnsi="Century Gothic" w:cs="Century Gothic"/>
          <w:color w:val="202124"/>
          <w:highlight w:val="white"/>
        </w:rPr>
        <w:t xml:space="preserve">cerrada, dificultando de sobre manera para la ciudadanía el conocer la amplitud y profundidad de las discusiones que motivan las decisiones que afectan a más de un millón de habitantes en el estado de Chihuahua. </w:t>
      </w:r>
    </w:p>
    <w:p w14:paraId="00000014" w14:textId="77777777" w:rsidR="009A46A4" w:rsidRDefault="009A46A4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</w:p>
    <w:p w14:paraId="00000015" w14:textId="77777777" w:rsidR="009A46A4" w:rsidRDefault="00905060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 importante que los ciudadanos estén inf</w:t>
      </w:r>
      <w:r>
        <w:rPr>
          <w:rFonts w:ascii="Century Gothic" w:eastAsia="Century Gothic" w:hAnsi="Century Gothic" w:cs="Century Gothic"/>
        </w:rPr>
        <w:t>ormados de lo que sucede y de las decisiones que se toman en las citadas sesiones, por consiguiente la Bancada Naranja propone que las sesiones sean trasmitidas en vivo mediante plataformas y redes sociales, ya que estas sesiones deben  estar al alcance de</w:t>
      </w:r>
      <w:r>
        <w:rPr>
          <w:rFonts w:ascii="Century Gothic" w:eastAsia="Century Gothic" w:hAnsi="Century Gothic" w:cs="Century Gothic"/>
        </w:rPr>
        <w:t xml:space="preserve"> todos los ciudadanos.</w:t>
      </w:r>
    </w:p>
    <w:p w14:paraId="00000016" w14:textId="77777777" w:rsidR="009A46A4" w:rsidRDefault="009A46A4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</w:p>
    <w:p w14:paraId="00000017" w14:textId="77777777" w:rsidR="009A46A4" w:rsidRDefault="009A46A4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</w:p>
    <w:p w14:paraId="00000018" w14:textId="77777777" w:rsidR="009A46A4" w:rsidRDefault="00905060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 por lo anterior que promuevo la siguiente iniciativa con carácter de:</w:t>
      </w:r>
    </w:p>
    <w:p w14:paraId="00000019" w14:textId="77777777" w:rsidR="009A46A4" w:rsidRDefault="009A46A4"/>
    <w:p w14:paraId="0000001A" w14:textId="77777777" w:rsidR="009A46A4" w:rsidRDefault="00905060">
      <w:pPr>
        <w:spacing w:before="240" w:after="240" w:line="360" w:lineRule="auto"/>
        <w:ind w:left="720"/>
        <w:jc w:val="center"/>
        <w:rPr>
          <w:rFonts w:ascii="Montserrat" w:eastAsia="Montserrat" w:hAnsi="Montserrat" w:cs="Montserrat"/>
          <w:b/>
          <w:highlight w:val="white"/>
        </w:rPr>
      </w:pPr>
      <w:r>
        <w:rPr>
          <w:rFonts w:ascii="Montserrat" w:eastAsia="Montserrat" w:hAnsi="Montserrat" w:cs="Montserrat"/>
          <w:b/>
          <w:highlight w:val="white"/>
        </w:rPr>
        <w:t>D E C R E T O</w:t>
      </w:r>
    </w:p>
    <w:p w14:paraId="0000001B" w14:textId="77777777" w:rsidR="009A46A4" w:rsidRDefault="00905060">
      <w:pPr>
        <w:ind w:left="850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b/>
        </w:rPr>
        <w:t>ARTÍCULO PRIMERO.-</w:t>
      </w:r>
      <w:r>
        <w:rPr>
          <w:rFonts w:ascii="Century Gothic" w:eastAsia="Century Gothic" w:hAnsi="Century Gothic" w:cs="Century Gothic"/>
        </w:rPr>
        <w:t xml:space="preserve"> Se reforma </w:t>
      </w:r>
      <w:r>
        <w:rPr>
          <w:rFonts w:ascii="Century Gothic" w:eastAsia="Century Gothic" w:hAnsi="Century Gothic" w:cs="Century Gothic"/>
          <w:highlight w:val="white"/>
        </w:rPr>
        <w:t>el tercer párrafo del artículo 27 de la Ley Estatal de Salud.</w:t>
      </w:r>
    </w:p>
    <w:p w14:paraId="0000001C" w14:textId="77777777" w:rsidR="009A46A4" w:rsidRDefault="009A46A4">
      <w:pPr>
        <w:ind w:left="850"/>
        <w:rPr>
          <w:rFonts w:ascii="Century Gothic" w:eastAsia="Century Gothic" w:hAnsi="Century Gothic" w:cs="Century Gothic"/>
          <w:highlight w:val="white"/>
        </w:rPr>
      </w:pPr>
    </w:p>
    <w:p w14:paraId="0000001D" w14:textId="77777777" w:rsidR="009A46A4" w:rsidRDefault="00905060">
      <w:pPr>
        <w:ind w:left="850"/>
        <w:rPr>
          <w:rFonts w:ascii="Century Gothic" w:eastAsia="Century Gothic" w:hAnsi="Century Gothic" w:cs="Century Gothic"/>
          <w:b/>
          <w:highlight w:val="white"/>
        </w:rPr>
      </w:pPr>
      <w:r>
        <w:rPr>
          <w:rFonts w:ascii="Century Gothic" w:eastAsia="Century Gothic" w:hAnsi="Century Gothic" w:cs="Century Gothic"/>
          <w:b/>
          <w:highlight w:val="white"/>
        </w:rPr>
        <w:t xml:space="preserve">ARTÍCULO 27... </w:t>
      </w:r>
    </w:p>
    <w:p w14:paraId="0000001E" w14:textId="77777777" w:rsidR="009A46A4" w:rsidRDefault="009A46A4">
      <w:pPr>
        <w:spacing w:line="360" w:lineRule="auto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F" w14:textId="77777777" w:rsidR="009A46A4" w:rsidRDefault="00905060">
      <w:pPr>
        <w:spacing w:line="360" w:lineRule="auto"/>
        <w:ind w:left="850"/>
        <w:jc w:val="both"/>
        <w:rPr>
          <w:rFonts w:ascii="Century Gothic" w:eastAsia="Century Gothic" w:hAnsi="Century Gothic" w:cs="Century Gothic"/>
          <w:b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El Consejo sesionará cada </w:t>
      </w:r>
      <w:r>
        <w:rPr>
          <w:rFonts w:ascii="Century Gothic" w:eastAsia="Century Gothic" w:hAnsi="Century Gothic" w:cs="Century Gothic"/>
          <w:b/>
          <w:highlight w:val="white"/>
        </w:rPr>
        <w:t>mes</w:t>
      </w:r>
      <w:r>
        <w:rPr>
          <w:rFonts w:ascii="Century Gothic" w:eastAsia="Century Gothic" w:hAnsi="Century Gothic" w:cs="Century Gothic"/>
          <w:highlight w:val="white"/>
        </w:rPr>
        <w:t xml:space="preserve">, o de manera extraordinaria a solicitud </w:t>
      </w:r>
      <w:r>
        <w:rPr>
          <w:rFonts w:ascii="Century Gothic" w:eastAsia="Century Gothic" w:hAnsi="Century Gothic" w:cs="Century Gothic"/>
          <w:b/>
          <w:highlight w:val="white"/>
        </w:rPr>
        <w:t>de quien presida el Consejo, o de quien ocupe la Secretaria Ejecutiva</w:t>
      </w:r>
      <w:r>
        <w:rPr>
          <w:rFonts w:ascii="Century Gothic" w:eastAsia="Century Gothic" w:hAnsi="Century Gothic" w:cs="Century Gothic"/>
          <w:highlight w:val="white"/>
        </w:rPr>
        <w:t>, en acuerdo con el primero, en el lu</w:t>
      </w:r>
      <w:r>
        <w:rPr>
          <w:rFonts w:ascii="Century Gothic" w:eastAsia="Century Gothic" w:hAnsi="Century Gothic" w:cs="Century Gothic"/>
          <w:highlight w:val="white"/>
        </w:rPr>
        <w:t xml:space="preserve">gar que se designe para tal efecto, </w:t>
      </w:r>
      <w:r>
        <w:rPr>
          <w:rFonts w:ascii="Century Gothic" w:eastAsia="Century Gothic" w:hAnsi="Century Gothic" w:cs="Century Gothic"/>
          <w:b/>
          <w:highlight w:val="white"/>
        </w:rPr>
        <w:t>dichas sesiones serán públicas y  transmitidas en vivo en las diferentes plataformas socio digitales del Gobierno del Estado.</w:t>
      </w:r>
    </w:p>
    <w:p w14:paraId="00000020" w14:textId="77777777" w:rsidR="009A46A4" w:rsidRDefault="00905060">
      <w:pPr>
        <w:spacing w:line="360" w:lineRule="auto"/>
        <w:ind w:left="850"/>
        <w:jc w:val="both"/>
        <w:rPr>
          <w:rFonts w:ascii="Century Gothic" w:eastAsia="Century Gothic" w:hAnsi="Century Gothic" w:cs="Century Gothic"/>
          <w:b/>
          <w:highlight w:val="white"/>
        </w:rPr>
      </w:pPr>
      <w:r>
        <w:rPr>
          <w:rFonts w:ascii="Century Gothic" w:eastAsia="Century Gothic" w:hAnsi="Century Gothic" w:cs="Century Gothic"/>
          <w:b/>
          <w:highlight w:val="white"/>
        </w:rPr>
        <w:t>. . .</w:t>
      </w:r>
    </w:p>
    <w:p w14:paraId="00000021" w14:textId="77777777" w:rsidR="009A46A4" w:rsidRDefault="00905060">
      <w:pPr>
        <w:spacing w:before="240" w:after="240" w:line="360" w:lineRule="auto"/>
        <w:jc w:val="center"/>
        <w:rPr>
          <w:rFonts w:ascii="Montserrat" w:eastAsia="Montserrat" w:hAnsi="Montserrat" w:cs="Montserrat"/>
          <w:b/>
          <w:highlight w:val="white"/>
        </w:rPr>
      </w:pPr>
      <w:r>
        <w:rPr>
          <w:rFonts w:ascii="Montserrat" w:eastAsia="Montserrat" w:hAnsi="Montserrat" w:cs="Montserrat"/>
          <w:b/>
          <w:highlight w:val="white"/>
        </w:rPr>
        <w:t>TRANSITORIO</w:t>
      </w:r>
    </w:p>
    <w:p w14:paraId="00000022" w14:textId="77777777" w:rsidR="009A46A4" w:rsidRDefault="009A46A4">
      <w:pPr>
        <w:spacing w:before="240" w:after="240" w:line="360" w:lineRule="auto"/>
        <w:jc w:val="center"/>
        <w:rPr>
          <w:rFonts w:ascii="Montserrat" w:eastAsia="Montserrat" w:hAnsi="Montserrat" w:cs="Montserrat"/>
          <w:b/>
          <w:highlight w:val="white"/>
        </w:rPr>
      </w:pPr>
    </w:p>
    <w:p w14:paraId="00000023" w14:textId="77777777" w:rsidR="009A46A4" w:rsidRDefault="00905060">
      <w:pPr>
        <w:spacing w:before="240" w:after="240" w:line="360" w:lineRule="auto"/>
        <w:ind w:left="708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highlight w:val="white"/>
        </w:rPr>
        <w:t xml:space="preserve">ARTÍCULO ÚNICO.- </w:t>
      </w:r>
      <w:r>
        <w:rPr>
          <w:rFonts w:ascii="Montserrat" w:eastAsia="Montserrat" w:hAnsi="Montserrat" w:cs="Montserrat"/>
          <w:highlight w:val="white"/>
        </w:rPr>
        <w:t>El presente Decreto entrará en vigor al día siguiente de p</w:t>
      </w:r>
      <w:r>
        <w:rPr>
          <w:rFonts w:ascii="Montserrat" w:eastAsia="Montserrat" w:hAnsi="Montserrat" w:cs="Montserrat"/>
          <w:highlight w:val="white"/>
        </w:rPr>
        <w:t>ublicación en el Periódico Oficial del Estado.</w:t>
      </w:r>
    </w:p>
    <w:p w14:paraId="00000024" w14:textId="77777777" w:rsidR="009A46A4" w:rsidRDefault="009A46A4">
      <w:pPr>
        <w:spacing w:before="160" w:line="360" w:lineRule="auto"/>
        <w:ind w:left="708" w:right="100"/>
        <w:jc w:val="both"/>
        <w:rPr>
          <w:rFonts w:ascii="Montserrat" w:eastAsia="Montserrat" w:hAnsi="Montserrat" w:cs="Montserrat"/>
          <w:highlight w:val="yellow"/>
        </w:rPr>
      </w:pPr>
    </w:p>
    <w:p w14:paraId="00000025" w14:textId="77777777" w:rsidR="009A46A4" w:rsidRDefault="00905060">
      <w:pPr>
        <w:spacing w:before="160" w:line="360" w:lineRule="auto"/>
        <w:ind w:left="708" w:right="1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ECONÓMICO.-</w:t>
      </w: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>Aprobado que sea, túrnese a la Secretaría a efecto de que elabore la minuta de decreto en los términos en que deba de publicarse.</w:t>
      </w:r>
    </w:p>
    <w:p w14:paraId="00000026" w14:textId="77777777" w:rsidR="009A46A4" w:rsidRDefault="009A46A4">
      <w:pPr>
        <w:spacing w:before="160" w:line="360" w:lineRule="auto"/>
        <w:ind w:left="708" w:right="100"/>
        <w:jc w:val="both"/>
        <w:rPr>
          <w:rFonts w:ascii="Montserrat" w:eastAsia="Montserrat" w:hAnsi="Montserrat" w:cs="Montserrat"/>
        </w:rPr>
      </w:pPr>
    </w:p>
    <w:p w14:paraId="00000027" w14:textId="77777777" w:rsidR="009A46A4" w:rsidRDefault="00905060">
      <w:pPr>
        <w:spacing w:before="160" w:line="360" w:lineRule="auto"/>
        <w:ind w:left="708" w:right="120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</w:rPr>
        <w:t xml:space="preserve">DADO en la sede del Poder Legislativo en la Ciudad de Chihuahua, Chihuahua, </w:t>
      </w:r>
      <w:r>
        <w:rPr>
          <w:rFonts w:ascii="Montserrat" w:eastAsia="Montserrat" w:hAnsi="Montserrat" w:cs="Montserrat"/>
          <w:highlight w:val="white"/>
        </w:rPr>
        <w:t>a los quince días del mes de marzo de 2022.</w:t>
      </w:r>
    </w:p>
    <w:p w14:paraId="00000028" w14:textId="77777777" w:rsidR="009A46A4" w:rsidRDefault="00905060">
      <w:pPr>
        <w:spacing w:before="160" w:line="360" w:lineRule="auto"/>
        <w:ind w:left="100" w:right="12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00000029" w14:textId="77777777" w:rsidR="009A46A4" w:rsidRDefault="009A46A4">
      <w:pPr>
        <w:spacing w:before="160" w:line="360" w:lineRule="auto"/>
        <w:ind w:left="100" w:right="120"/>
        <w:jc w:val="both"/>
        <w:rPr>
          <w:rFonts w:ascii="Montserrat" w:eastAsia="Montserrat" w:hAnsi="Montserrat" w:cs="Montserrat"/>
          <w:b/>
        </w:rPr>
      </w:pPr>
    </w:p>
    <w:p w14:paraId="0000002A" w14:textId="77777777" w:rsidR="009A46A4" w:rsidRDefault="009A46A4">
      <w:pPr>
        <w:spacing w:before="160" w:line="360" w:lineRule="auto"/>
        <w:ind w:left="100" w:right="120"/>
        <w:jc w:val="both"/>
        <w:rPr>
          <w:rFonts w:ascii="Montserrat" w:eastAsia="Montserrat" w:hAnsi="Montserrat" w:cs="Montserrat"/>
          <w:b/>
        </w:rPr>
      </w:pPr>
    </w:p>
    <w:p w14:paraId="0000002B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ATENTAMENTE</w:t>
      </w:r>
    </w:p>
    <w:p w14:paraId="0000002C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0000002D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</w:t>
      </w:r>
    </w:p>
    <w:p w14:paraId="0000002E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0000002F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FRANCISCO ADRIÁN SÁNCHEZ VILLEGAS</w:t>
      </w:r>
    </w:p>
    <w:p w14:paraId="00000030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DIPUTADO CIUDADANO</w:t>
      </w:r>
    </w:p>
    <w:p w14:paraId="00000031" w14:textId="77777777" w:rsidR="009A46A4" w:rsidRDefault="00905060">
      <w:pPr>
        <w:spacing w:before="240" w:after="240"/>
        <w:ind w:left="720"/>
        <w:jc w:val="center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</w:rPr>
        <w:t>GRUPO PARLAMENTARIO DE MOVIMIENTO CIUDADANO</w:t>
      </w:r>
    </w:p>
    <w:p w14:paraId="00000032" w14:textId="77777777" w:rsidR="009A46A4" w:rsidRDefault="009A46A4">
      <w:pPr>
        <w:rPr>
          <w:rFonts w:ascii="Century Gothic" w:eastAsia="Century Gothic" w:hAnsi="Century Gothic" w:cs="Century Gothic"/>
          <w:highlight w:val="white"/>
        </w:rPr>
      </w:pPr>
    </w:p>
    <w:sectPr w:rsidR="009A46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4945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A4"/>
    <w:rsid w:val="00905060"/>
    <w:rsid w:val="009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D8D69C-DE11-3048-A32A-D336D22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Alejandra Garibay</cp:lastModifiedBy>
  <cp:revision>2</cp:revision>
  <dcterms:created xsi:type="dcterms:W3CDTF">2022-03-14T19:51:00Z</dcterms:created>
  <dcterms:modified xsi:type="dcterms:W3CDTF">2022-03-14T19:51:00Z</dcterms:modified>
</cp:coreProperties>
</file>