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34F7" w14:textId="77777777" w:rsidR="00881B82" w:rsidRDefault="00115120">
      <w:pPr>
        <w:jc w:val="both"/>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H. CONGRESO DEL ESTADO DE CHIHUAHUA</w:t>
      </w:r>
    </w:p>
    <w:p w14:paraId="5A07BC66" w14:textId="77777777" w:rsidR="00881B82" w:rsidRDefault="00115120">
      <w:pPr>
        <w:jc w:val="both"/>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P R E S E N T E. </w:t>
      </w:r>
    </w:p>
    <w:p w14:paraId="75D378A2" w14:textId="77777777" w:rsidR="00881B82" w:rsidRDefault="00115120">
      <w:pP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Brenda Francisca Ríos Prieto, Elizabeth Guzmán Argueta, Edith Palma Ontiveros, Herminia Gómez Carrasco, Leticia Ortega Máynez, María Antonieta Pérez Reyes, Pedro Torres Estrada y Rosana Díaz Reyes</w:t>
      </w:r>
      <w:r>
        <w:rPr>
          <w:rFonts w:ascii="Century Gothic" w:eastAsia="Century Gothic" w:hAnsi="Century Gothic" w:cs="Century Gothic"/>
          <w:sz w:val="24"/>
          <w:szCs w:val="24"/>
        </w:rPr>
        <w:t>,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w:t>
      </w:r>
      <w:r>
        <w:rPr>
          <w:rFonts w:ascii="Century Gothic" w:eastAsia="Century Gothic" w:hAnsi="Century Gothic" w:cs="Century Gothic"/>
          <w:color w:val="000000"/>
          <w:sz w:val="24"/>
          <w:szCs w:val="24"/>
        </w:rPr>
        <w:t xml:space="preserve"> proyecto con carácter de </w:t>
      </w:r>
      <w:r>
        <w:rPr>
          <w:rFonts w:ascii="Century Gothic" w:eastAsia="Century Gothic" w:hAnsi="Century Gothic" w:cs="Century Gothic"/>
          <w:b/>
          <w:color w:val="000000"/>
          <w:sz w:val="24"/>
          <w:szCs w:val="24"/>
        </w:rPr>
        <w:t>DECRETO</w:t>
      </w:r>
      <w:r>
        <w:rPr>
          <w:rFonts w:ascii="Century Gothic" w:eastAsia="Century Gothic" w:hAnsi="Century Gothic" w:cs="Century Gothic"/>
          <w:b/>
          <w:sz w:val="24"/>
          <w:szCs w:val="24"/>
        </w:rPr>
        <w:t xml:space="preserve">, </w:t>
      </w:r>
      <w:r>
        <w:rPr>
          <w:rFonts w:ascii="Century Gothic" w:eastAsia="Century Gothic" w:hAnsi="Century Gothic" w:cs="Century Gothic"/>
          <w:color w:val="000000"/>
          <w:sz w:val="24"/>
          <w:szCs w:val="24"/>
        </w:rPr>
        <w:t>al tenor de la siguiente:</w:t>
      </w:r>
    </w:p>
    <w:p w14:paraId="4CC7C80D" w14:textId="77777777" w:rsidR="00881B82" w:rsidRDefault="00115120">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color w:val="000000"/>
          <w:sz w:val="24"/>
          <w:szCs w:val="24"/>
        </w:rPr>
        <w:t>EXPOSICIÓN DE MOTIVOS.</w:t>
      </w:r>
    </w:p>
    <w:p w14:paraId="27527576" w14:textId="3187208E"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Las constituciones locales de México son fundamentales para el funcionamiento del federalismo en nuestro país, teniendo cada entidad como parte del pacto federal, una evolución histórica </w:t>
      </w:r>
      <w:r w:rsidR="000F5385">
        <w:rPr>
          <w:rFonts w:ascii="Century Gothic" w:eastAsia="Century Gothic" w:hAnsi="Century Gothic" w:cs="Century Gothic"/>
          <w:sz w:val="24"/>
          <w:szCs w:val="24"/>
          <w:highlight w:val="white"/>
        </w:rPr>
        <w:t>significativa, cuyo</w:t>
      </w:r>
      <w:r>
        <w:rPr>
          <w:rFonts w:ascii="Century Gothic" w:eastAsia="Century Gothic" w:hAnsi="Century Gothic" w:cs="Century Gothic"/>
          <w:sz w:val="24"/>
          <w:szCs w:val="24"/>
          <w:highlight w:val="white"/>
        </w:rPr>
        <w:t xml:space="preserve"> proceso de evolución ha sido fundamental para el desarrollo político y administrativo del estado, adaptándose a las necesidades sociales y políticas a lo largo del tiempo.</w:t>
      </w:r>
    </w:p>
    <w:p w14:paraId="2171086F" w14:textId="15B3940F"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lastRenderedPageBreak/>
        <w:t xml:space="preserve">A más de 200 años de consumada la independencia, podemos afirmar que el derecho constitucional en </w:t>
      </w:r>
      <w:r w:rsidR="000F5385">
        <w:rPr>
          <w:rFonts w:ascii="Century Gothic" w:eastAsia="Century Gothic" w:hAnsi="Century Gothic" w:cs="Century Gothic"/>
          <w:sz w:val="24"/>
          <w:szCs w:val="24"/>
          <w:highlight w:val="white"/>
        </w:rPr>
        <w:t>México, ha</w:t>
      </w:r>
      <w:r>
        <w:rPr>
          <w:rFonts w:ascii="Century Gothic" w:eastAsia="Century Gothic" w:hAnsi="Century Gothic" w:cs="Century Gothic"/>
          <w:sz w:val="24"/>
          <w:szCs w:val="24"/>
          <w:highlight w:val="white"/>
        </w:rPr>
        <w:t xml:space="preserve"> sido pieza clave al </w:t>
      </w:r>
      <w:r w:rsidR="000F5385">
        <w:rPr>
          <w:rFonts w:ascii="Century Gothic" w:eastAsia="Century Gothic" w:hAnsi="Century Gothic" w:cs="Century Gothic"/>
          <w:sz w:val="24"/>
          <w:szCs w:val="24"/>
          <w:highlight w:val="white"/>
        </w:rPr>
        <w:t>haberse dejado</w:t>
      </w:r>
      <w:r>
        <w:rPr>
          <w:rFonts w:ascii="Century Gothic" w:eastAsia="Century Gothic" w:hAnsi="Century Gothic" w:cs="Century Gothic"/>
          <w:sz w:val="24"/>
          <w:szCs w:val="24"/>
          <w:highlight w:val="white"/>
        </w:rPr>
        <w:t xml:space="preserve"> al antiguo virreinato español sin efectos en nuestra soberanía, resurgiendo con ello nuestra autonomía como nación y propiciando la cimentación de las bases para un estado de derecho.</w:t>
      </w:r>
    </w:p>
    <w:p w14:paraId="085D58A1"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Como parte del debate del Constituyente, hubo consenso respecto a que, siguiendo la corriente del federalismo, las constituciones como fuente de derecho, marcan además el orden institucional y regulan el poder del Estado, garantizando además para las personas los derechos básicos y el bien común.</w:t>
      </w:r>
    </w:p>
    <w:p w14:paraId="001DC4DA"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ese orden de ideas, se afirma que las constituciones responden a momentos y contexto histórico, consagrando la identidad común a través de un pacto social; es así que surge en México la Constitución Política de Cádiz en 1812, cuya observancia se vio interrumpida en 1814 por 6 años pero que al restaurarse en 1920 derivó en otros ordenamientos de gran relevancia para la cimentación política de las entidades.</w:t>
      </w:r>
    </w:p>
    <w:p w14:paraId="111580B1"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El Estado de Chihuahua, como parte integrante de la República Mexicana, nace a la vida política del país en la Constitución Federal de 1824 al incluir esta última como una de las entidades federativas en que se descompone la nueva estructura jurídica de la nación y que dota a cada uno de los estados de facultad para dictar su propia Constitución bajo la limitante </w:t>
      </w:r>
      <w:r>
        <w:rPr>
          <w:rFonts w:ascii="Century Gothic" w:eastAsia="Century Gothic" w:hAnsi="Century Gothic" w:cs="Century Gothic"/>
          <w:sz w:val="24"/>
          <w:szCs w:val="24"/>
          <w:highlight w:val="white"/>
        </w:rPr>
        <w:lastRenderedPageBreak/>
        <w:t>única de respetar aquellas materias reservadas únicamente para el Congreso de la Unión.</w:t>
      </w:r>
    </w:p>
    <w:p w14:paraId="00F6C133" w14:textId="4746ACAD"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A razón de lo anterior, remontándonos a los años 1823-1824 el Estado de Chihuahua se instauró como una entidad federativa, bajo </w:t>
      </w:r>
      <w:r w:rsidR="000F5385">
        <w:rPr>
          <w:rFonts w:ascii="Century Gothic" w:eastAsia="Century Gothic" w:hAnsi="Century Gothic" w:cs="Century Gothic"/>
          <w:sz w:val="24"/>
          <w:szCs w:val="24"/>
          <w:highlight w:val="white"/>
        </w:rPr>
        <w:t>los principios</w:t>
      </w:r>
      <w:r>
        <w:rPr>
          <w:rFonts w:ascii="Century Gothic" w:eastAsia="Century Gothic" w:hAnsi="Century Gothic" w:cs="Century Gothic"/>
          <w:sz w:val="24"/>
          <w:szCs w:val="24"/>
          <w:highlight w:val="white"/>
        </w:rPr>
        <w:t xml:space="preserve"> de Derecho Constitucional: el 4 de octubre de 1823, de acuerdo con los enunciados de la Constitución de Cádiz, se instala la Diputación Provincial, </w:t>
      </w:r>
      <w:r w:rsidR="000F5385">
        <w:rPr>
          <w:rFonts w:ascii="Century Gothic" w:eastAsia="Century Gothic" w:hAnsi="Century Gothic" w:cs="Century Gothic"/>
          <w:sz w:val="24"/>
          <w:szCs w:val="24"/>
          <w:highlight w:val="white"/>
        </w:rPr>
        <w:t>que,</w:t>
      </w:r>
      <w:r>
        <w:rPr>
          <w:rFonts w:ascii="Century Gothic" w:eastAsia="Century Gothic" w:hAnsi="Century Gothic" w:cs="Century Gothic"/>
          <w:sz w:val="24"/>
          <w:szCs w:val="24"/>
          <w:highlight w:val="white"/>
        </w:rPr>
        <w:t xml:space="preserve"> tras la creación del Congreso Nacional Constituyente en 1824, da pie a la creación de la Legislatura Constituyente, instalándose en el Congreso Constituyente del Estado en septiembre de 1824</w:t>
      </w:r>
    </w:p>
    <w:p w14:paraId="155E7A88" w14:textId="77777777" w:rsidR="00881B82" w:rsidRDefault="00881B82">
      <w:pPr>
        <w:spacing w:before="240" w:after="240" w:line="360" w:lineRule="auto"/>
        <w:jc w:val="both"/>
        <w:rPr>
          <w:rFonts w:ascii="Century Gothic" w:eastAsia="Century Gothic" w:hAnsi="Century Gothic" w:cs="Century Gothic"/>
          <w:sz w:val="24"/>
          <w:szCs w:val="24"/>
          <w:highlight w:val="white"/>
        </w:rPr>
      </w:pPr>
    </w:p>
    <w:p w14:paraId="648F777F" w14:textId="303715D4"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En consecuencia, en uso de sus respectivas facultades, el </w:t>
      </w:r>
      <w:r w:rsidR="000F5385">
        <w:rPr>
          <w:rFonts w:ascii="Century Gothic" w:eastAsia="Century Gothic" w:hAnsi="Century Gothic" w:cs="Century Gothic"/>
          <w:sz w:val="24"/>
          <w:szCs w:val="24"/>
          <w:highlight w:val="white"/>
        </w:rPr>
        <w:t>Congreso Constituyente</w:t>
      </w:r>
      <w:r>
        <w:rPr>
          <w:rFonts w:ascii="Century Gothic" w:eastAsia="Century Gothic" w:hAnsi="Century Gothic" w:cs="Century Gothic"/>
          <w:sz w:val="24"/>
          <w:szCs w:val="24"/>
          <w:highlight w:val="white"/>
        </w:rPr>
        <w:t xml:space="preserve"> se da la primera constitución local para el Estado de Chihuahua, para normar su régimen a finales de 1825, la que fue sin lugar a dudas un gran proyecto que inicialmente constaba de 129 artículos, clasificados en 21 títulos, en concreto contando con principios democráticos, demostrativos y estableciendo un poder tripartito dividido en tres poderes: ejecutivo, legislativo y judicial.</w:t>
      </w:r>
    </w:p>
    <w:p w14:paraId="6EE83498"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 xml:space="preserve">La Constitución local de Chihuahua, promulgada el 7 de diciembre de 1825, marca un hito en la historia del Estado. En 2025, se conmemora su bicentenario, celebrando dos siglos de autonomía y desarrollo jurídico, evento que no solo recuerda la fundación del marco legal de Chihuahua, sino que también resalta la importancia de la participación ciudadana en </w:t>
      </w:r>
      <w:r>
        <w:rPr>
          <w:rFonts w:ascii="Century Gothic" w:eastAsia="Century Gothic" w:hAnsi="Century Gothic" w:cs="Century Gothic"/>
          <w:sz w:val="24"/>
          <w:szCs w:val="24"/>
          <w:highlight w:val="white"/>
        </w:rPr>
        <w:lastRenderedPageBreak/>
        <w:t>la construcción de un estado libre y soberano. En ese orden de ideas, la presente propuesta que versa sobre dicha conmemoración, servirá para reflexionar sobre los avances logrados y los desafíos que aún persisten en la búsqueda de justicia y equidad para todos los chihuahuenses.</w:t>
      </w:r>
    </w:p>
    <w:p w14:paraId="5D36A3B4"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 definitiva, no solo se celebran dos siglos de existencia de nuestra prestigiosa carta magna local, sino que se rinde homenaje a su inquebrantable compromiso con México y con nuestro Estado por su incansable labor en la formación de ciudadanos fieles a su patria.</w:t>
      </w:r>
    </w:p>
    <w:p w14:paraId="14330D3B"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Entre las características más destacadas de la Constitución de Chihuahua se encuentra su reconocimiento de la pluriculturalidad del estado. El Artículo 1 establece que Chihuahua es parte integral de los Estados Unidos Mexicanos y que su población es diversa en términos de cultura y lengua. Además, la constitución garantiza derechos fundamentales y establece un marco para la participación ciudadana en la toma de decisiones.</w:t>
      </w:r>
    </w:p>
    <w:p w14:paraId="058F45F0"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Este acto es motivo de orgullo para los que integramos esta soberanía y para todos los chihuahuenses, consolidando un precedente que pasará a la historia, otorgándole el reconocimiento que merece el ordenamiento de mayor injerencia en nuestro Estado. Hoy me dirijo a ustedes con la firme convicción de que nuestra Constitución es un pilar fundamental para el desarrollo sostenible de nuestra sociedad. En una sociedad en donde vale la pena darle reconocimiento por un hecho histórico de tal magnitud.</w:t>
      </w:r>
    </w:p>
    <w:p w14:paraId="647AAFD3" w14:textId="77777777" w:rsidR="00881B82" w:rsidRDefault="00115120">
      <w:pPr>
        <w:spacing w:before="240" w:after="240" w:line="360" w:lineRule="auto"/>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lastRenderedPageBreak/>
        <w:t>En conclusión, es un momento propicio para reflexionar sobre los avances y desafíos que enfrenta la sociedad chihuahuense en la actualidad, y resaltar la conmemoración que busca resaltar la importancia de este documento en la historia política y social del Estado, promoviendo un sentido de orgullo y pertenencia entre sus habitantes.</w:t>
      </w:r>
    </w:p>
    <w:p w14:paraId="51B80EDD" w14:textId="77777777" w:rsidR="00881B82" w:rsidRDefault="00115120">
      <w:pPr>
        <w:spacing w:before="240" w:after="240"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Es así que este 2025 es una conmemoración no solamente del bicentenario de la elaboración de nuestra constitución local, sino que es el momento idóneo para reconocer nuestra identidad y el papel que como parte de la federación desempeñamos orgullosamente.</w:t>
      </w:r>
    </w:p>
    <w:p w14:paraId="1D1F0CA1" w14:textId="77777777" w:rsidR="00881B82" w:rsidRDefault="00115120">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 xml:space="preserve">Por lo anteriormente expuesto, </w:t>
      </w:r>
      <w:r>
        <w:rPr>
          <w:rFonts w:ascii="Century Gothic" w:eastAsia="Century Gothic" w:hAnsi="Century Gothic" w:cs="Century Gothic"/>
          <w:sz w:val="24"/>
          <w:szCs w:val="24"/>
        </w:rPr>
        <w:t>nos</w:t>
      </w:r>
      <w:r>
        <w:rPr>
          <w:rFonts w:ascii="Century Gothic" w:eastAsia="Century Gothic" w:hAnsi="Century Gothic" w:cs="Century Gothic"/>
          <w:color w:val="000000"/>
          <w:sz w:val="24"/>
          <w:szCs w:val="24"/>
        </w:rPr>
        <w:t xml:space="preserve"> permit</w:t>
      </w:r>
      <w:r>
        <w:rPr>
          <w:rFonts w:ascii="Century Gothic" w:eastAsia="Century Gothic" w:hAnsi="Century Gothic" w:cs="Century Gothic"/>
          <w:sz w:val="24"/>
          <w:szCs w:val="24"/>
        </w:rPr>
        <w:t>imos</w:t>
      </w:r>
      <w:r>
        <w:rPr>
          <w:rFonts w:ascii="Century Gothic" w:eastAsia="Century Gothic" w:hAnsi="Century Gothic" w:cs="Century Gothic"/>
          <w:color w:val="000000"/>
          <w:sz w:val="24"/>
          <w:szCs w:val="24"/>
        </w:rPr>
        <w:t xml:space="preserve"> someter a consideración del Pleno, el siguiente proyecto con carácter de:</w:t>
      </w:r>
    </w:p>
    <w:p w14:paraId="4B3435E2" w14:textId="77777777" w:rsidR="00881B82" w:rsidRDefault="00115120">
      <w:pPr>
        <w:spacing w:line="36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D E C R E T O:</w:t>
      </w:r>
    </w:p>
    <w:p w14:paraId="2D03FE30" w14:textId="77777777" w:rsidR="00881B82" w:rsidRDefault="00115120">
      <w:pPr>
        <w:pBdr>
          <w:top w:val="nil"/>
          <w:left w:val="nil"/>
          <w:bottom w:val="single" w:sz="6" w:space="0" w:color="000000"/>
          <w:right w:val="nil"/>
          <w:between w:val="nil"/>
        </w:pBd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ARTÍCULO ÚNICO</w:t>
      </w:r>
      <w:r>
        <w:rPr>
          <w:rFonts w:ascii="Century Gothic" w:eastAsia="Century Gothic" w:hAnsi="Century Gothic" w:cs="Century Gothic"/>
          <w:color w:val="000000"/>
          <w:sz w:val="24"/>
          <w:szCs w:val="24"/>
        </w:rPr>
        <w:t xml:space="preserve">. La Sexagésima Octava Legislatura del H. Congreso del Estado, declara: </w:t>
      </w:r>
      <w:r>
        <w:rPr>
          <w:rFonts w:ascii="Century Gothic" w:eastAsia="Century Gothic" w:hAnsi="Century Gothic" w:cs="Century Gothic"/>
          <w:b/>
          <w:color w:val="000000"/>
          <w:sz w:val="24"/>
          <w:szCs w:val="24"/>
        </w:rPr>
        <w:t xml:space="preserve">“2025, Bicentenario de la Primera Constitución </w:t>
      </w:r>
      <w:r>
        <w:rPr>
          <w:rFonts w:ascii="Century Gothic" w:eastAsia="Century Gothic" w:hAnsi="Century Gothic" w:cs="Century Gothic"/>
          <w:b/>
          <w:sz w:val="24"/>
          <w:szCs w:val="24"/>
        </w:rPr>
        <w:t>Política</w:t>
      </w:r>
      <w:r>
        <w:rPr>
          <w:rFonts w:ascii="Century Gothic" w:eastAsia="Century Gothic" w:hAnsi="Century Gothic" w:cs="Century Gothic"/>
          <w:b/>
          <w:color w:val="000000"/>
          <w:sz w:val="24"/>
          <w:szCs w:val="24"/>
        </w:rPr>
        <w:t xml:space="preserve"> del Estado de Chihuahua”</w:t>
      </w:r>
      <w:r>
        <w:rPr>
          <w:rFonts w:ascii="Century Gothic" w:eastAsia="Century Gothic" w:hAnsi="Century Gothic" w:cs="Century Gothic"/>
          <w:color w:val="000000"/>
          <w:sz w:val="24"/>
          <w:szCs w:val="24"/>
        </w:rPr>
        <w:t xml:space="preserve">; En razón de lo anterior, </w:t>
      </w:r>
      <w:r>
        <w:rPr>
          <w:rFonts w:ascii="Century Gothic" w:eastAsia="Century Gothic" w:hAnsi="Century Gothic" w:cs="Century Gothic"/>
          <w:sz w:val="24"/>
          <w:szCs w:val="24"/>
        </w:rPr>
        <w:t>instrúyase</w:t>
      </w:r>
      <w:r>
        <w:rPr>
          <w:rFonts w:ascii="Century Gothic" w:eastAsia="Century Gothic" w:hAnsi="Century Gothic" w:cs="Century Gothic"/>
          <w:color w:val="000000"/>
          <w:sz w:val="24"/>
          <w:szCs w:val="24"/>
        </w:rPr>
        <w:t xml:space="preserve"> a las Instituciones Públicas dependientes de los tres Poderes del Estado, a la administración centralizada, descentralizada, paraestatal y organismos constitucionales autónomos, así como a los Ayuntamientos de los 67 Municipios del Estado, a que impriman dicha leyenda en todos los documentos oficiales que tengan a bien elaborar con motivo del ejercicio de sus funciones y facultades, durante el transcurso del próximo 202</w:t>
      </w:r>
      <w:r>
        <w:rPr>
          <w:rFonts w:ascii="Century Gothic" w:eastAsia="Century Gothic" w:hAnsi="Century Gothic" w:cs="Century Gothic"/>
          <w:sz w:val="24"/>
          <w:szCs w:val="24"/>
        </w:rPr>
        <w:t>5</w:t>
      </w:r>
      <w:r>
        <w:rPr>
          <w:rFonts w:ascii="Century Gothic" w:eastAsia="Century Gothic" w:hAnsi="Century Gothic" w:cs="Century Gothic"/>
          <w:color w:val="000000"/>
          <w:sz w:val="24"/>
          <w:szCs w:val="24"/>
        </w:rPr>
        <w:t>.</w:t>
      </w:r>
    </w:p>
    <w:p w14:paraId="0D3B3E2C" w14:textId="77777777" w:rsidR="00881B82" w:rsidRDefault="00115120">
      <w:pPr>
        <w:pBdr>
          <w:top w:val="nil"/>
          <w:left w:val="nil"/>
          <w:bottom w:val="single" w:sz="6" w:space="0" w:color="000000"/>
          <w:right w:val="nil"/>
          <w:between w:val="nil"/>
        </w:pBdr>
        <w:spacing w:after="0" w:line="360" w:lineRule="auto"/>
        <w:jc w:val="center"/>
        <w:rPr>
          <w:rFonts w:ascii="Century Gothic" w:eastAsia="Century Gothic" w:hAnsi="Century Gothic" w:cs="Century Gothic"/>
          <w:b/>
          <w:color w:val="000000"/>
          <w:sz w:val="24"/>
          <w:szCs w:val="24"/>
          <w:highlight w:val="white"/>
        </w:rPr>
      </w:pPr>
      <w:r>
        <w:rPr>
          <w:rFonts w:ascii="Century Gothic" w:eastAsia="Century Gothic" w:hAnsi="Century Gothic" w:cs="Century Gothic"/>
          <w:b/>
          <w:color w:val="000000"/>
          <w:sz w:val="24"/>
          <w:szCs w:val="24"/>
          <w:highlight w:val="white"/>
        </w:rPr>
        <w:t>T R A N S I T O R I O S:</w:t>
      </w:r>
    </w:p>
    <w:p w14:paraId="34CCE372" w14:textId="77777777" w:rsidR="00881B82" w:rsidRDefault="00881B82">
      <w:pPr>
        <w:jc w:val="center"/>
        <w:rPr>
          <w:rFonts w:ascii="Century Gothic" w:eastAsia="Century Gothic" w:hAnsi="Century Gothic" w:cs="Century Gothic"/>
          <w:b/>
          <w:sz w:val="24"/>
          <w:szCs w:val="24"/>
          <w:highlight w:val="white"/>
        </w:rPr>
      </w:pPr>
    </w:p>
    <w:p w14:paraId="333E4E80" w14:textId="77777777" w:rsidR="00881B82" w:rsidRDefault="00115120">
      <w:pPr>
        <w:spacing w:line="360" w:lineRule="auto"/>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 xml:space="preserve">ÚNICO. - </w:t>
      </w:r>
      <w:r>
        <w:rPr>
          <w:rFonts w:ascii="Century Gothic" w:eastAsia="Century Gothic" w:hAnsi="Century Gothic" w:cs="Century Gothic"/>
          <w:color w:val="000000"/>
          <w:sz w:val="24"/>
          <w:szCs w:val="24"/>
        </w:rPr>
        <w:t>El presente Decreto entrará en vigor el 1º de enero de 2025, previa publicación en el Periódico Oficial del Estado.</w:t>
      </w:r>
    </w:p>
    <w:p w14:paraId="78566647" w14:textId="479528E4" w:rsidR="00881B82" w:rsidRDefault="00115120">
      <w:pPr>
        <w:spacing w:line="36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b/>
          <w:color w:val="000000"/>
          <w:sz w:val="24"/>
          <w:szCs w:val="24"/>
        </w:rPr>
        <w:t xml:space="preserve">ECONÓMICO. - </w:t>
      </w:r>
      <w:r>
        <w:rPr>
          <w:rFonts w:ascii="Century Gothic" w:eastAsia="Century Gothic" w:hAnsi="Century Gothic" w:cs="Century Gothic"/>
          <w:color w:val="000000"/>
          <w:sz w:val="24"/>
          <w:szCs w:val="24"/>
        </w:rPr>
        <w:t xml:space="preserve">Aprobado que sea, </w:t>
      </w:r>
      <w:r w:rsidR="000F5385">
        <w:rPr>
          <w:rFonts w:ascii="Century Gothic" w:eastAsia="Century Gothic" w:hAnsi="Century Gothic" w:cs="Century Gothic"/>
          <w:sz w:val="24"/>
          <w:szCs w:val="24"/>
        </w:rPr>
        <w:t>túrnese</w:t>
      </w:r>
      <w:r>
        <w:rPr>
          <w:rFonts w:ascii="Century Gothic" w:eastAsia="Century Gothic" w:hAnsi="Century Gothic" w:cs="Century Gothic"/>
          <w:color w:val="000000"/>
          <w:sz w:val="24"/>
          <w:szCs w:val="24"/>
        </w:rPr>
        <w:t xml:space="preserve"> a la Secretaría de Asuntos Legislativos y Jurídicos para que elabore la minuta de Decreto, en los términos en que deba publicarse.</w:t>
      </w:r>
    </w:p>
    <w:p w14:paraId="259EB392" w14:textId="77777777" w:rsidR="00881B82" w:rsidRDefault="00115120">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color w:val="000000"/>
          <w:sz w:val="24"/>
          <w:szCs w:val="24"/>
        </w:rPr>
        <w:t>D A D O</w:t>
      </w:r>
      <w:r>
        <w:rPr>
          <w:rFonts w:ascii="Century Gothic" w:eastAsia="Century Gothic" w:hAnsi="Century Gothic" w:cs="Century Gothic"/>
          <w:color w:val="000000"/>
          <w:sz w:val="24"/>
          <w:szCs w:val="24"/>
        </w:rPr>
        <w:t xml:space="preserve"> en el salón de sesiones del Poder Legislativo en la Ciudad de Chihuahua, Chih., a los </w:t>
      </w:r>
      <w:r>
        <w:rPr>
          <w:rFonts w:ascii="Century Gothic" w:eastAsia="Century Gothic" w:hAnsi="Century Gothic" w:cs="Century Gothic"/>
          <w:sz w:val="24"/>
          <w:szCs w:val="24"/>
        </w:rPr>
        <w:t>3</w:t>
      </w:r>
      <w:r>
        <w:rPr>
          <w:rFonts w:ascii="Century Gothic" w:eastAsia="Century Gothic" w:hAnsi="Century Gothic" w:cs="Century Gothic"/>
          <w:color w:val="000000"/>
          <w:sz w:val="24"/>
          <w:szCs w:val="24"/>
        </w:rPr>
        <w:t xml:space="preserve"> días del mes de octubre</w:t>
      </w:r>
      <w:r>
        <w:rPr>
          <w:rFonts w:ascii="Century Gothic" w:eastAsia="Century Gothic" w:hAnsi="Century Gothic" w:cs="Century Gothic"/>
          <w:b/>
          <w:color w:val="000000"/>
          <w:sz w:val="24"/>
          <w:szCs w:val="24"/>
        </w:rPr>
        <w:t xml:space="preserve"> </w:t>
      </w:r>
      <w:r>
        <w:rPr>
          <w:rFonts w:ascii="Century Gothic" w:eastAsia="Century Gothic" w:hAnsi="Century Gothic" w:cs="Century Gothic"/>
          <w:color w:val="000000"/>
          <w:sz w:val="24"/>
          <w:szCs w:val="24"/>
        </w:rPr>
        <w:t>del año dos mil veinticuatro. </w:t>
      </w:r>
    </w:p>
    <w:p w14:paraId="545BB298" w14:textId="77777777" w:rsidR="00881B82" w:rsidRDefault="00115120">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ATENTAMENTE,</w:t>
      </w:r>
    </w:p>
    <w:p w14:paraId="5CDF40CB" w14:textId="77777777" w:rsidR="00881B82" w:rsidRDefault="00881B82">
      <w:pPr>
        <w:rPr>
          <w:rFonts w:ascii="Century Gothic" w:eastAsia="Century Gothic" w:hAnsi="Century Gothic" w:cs="Century Gothic"/>
          <w:b/>
          <w:sz w:val="24"/>
          <w:szCs w:val="24"/>
        </w:rPr>
      </w:pPr>
    </w:p>
    <w:p w14:paraId="7BC581D6" w14:textId="77777777" w:rsidR="00881B82" w:rsidRDefault="00115120">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6312E3A1" w14:textId="77777777" w:rsidR="00881B82" w:rsidRDefault="00881B82">
      <w:pPr>
        <w:jc w:val="center"/>
        <w:rPr>
          <w:rFonts w:ascii="Century Gothic" w:eastAsia="Century Gothic" w:hAnsi="Century Gothic" w:cs="Century Gothic"/>
          <w:b/>
          <w:sz w:val="24"/>
          <w:szCs w:val="24"/>
        </w:rPr>
      </w:pPr>
    </w:p>
    <w:tbl>
      <w:tblPr>
        <w:tblStyle w:val="a0"/>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81B82" w14:paraId="67ABA7B5" w14:textId="77777777">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66B37F1D"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0F205D65" w14:textId="77777777" w:rsidR="00881B82" w:rsidRDefault="00115120">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881B82" w14:paraId="1D4DA68F" w14:textId="77777777">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F4DB78D"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3876C2C" w14:textId="77777777" w:rsidR="00881B82" w:rsidRDefault="00115120">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Elizabeth Guzmán Argueta</w:t>
            </w:r>
          </w:p>
        </w:tc>
      </w:tr>
      <w:tr w:rsidR="00881B82" w14:paraId="017D150F" w14:textId="77777777">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6FB75DE"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lastRenderedPageBreak/>
              <w:t>Dip</w:t>
            </w:r>
            <w:proofErr w:type="spellEnd"/>
            <w:r>
              <w:rPr>
                <w:rFonts w:ascii="Century Gothic" w:eastAsia="Century Gothic" w:hAnsi="Century Gothic" w:cs="Century Gothic"/>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37E5AF26" w14:textId="77777777" w:rsidR="00881B82" w:rsidRDefault="00115120">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881B82" w14:paraId="7566AE54" w14:textId="77777777">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69D822B"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3977B6C" w14:textId="77777777" w:rsidR="00881B82" w:rsidRDefault="00115120">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881B82" w14:paraId="4375BD1C" w14:textId="77777777">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F3AD362"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Jael Argüelles Díaz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ECC5502" w14:textId="77777777" w:rsidR="00881B82" w:rsidRDefault="00115120">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4FE5F1B0" w14:textId="77777777" w:rsidR="00881B82" w:rsidRDefault="00115120">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881B82" w14:paraId="47C34DC1" w14:textId="77777777">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6E4C2A7" w14:textId="77777777" w:rsidR="00881B82" w:rsidRDefault="00115120">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Brenda Francisca Ríos Prieto</w:t>
            </w:r>
          </w:p>
          <w:p w14:paraId="610C2E39" w14:textId="77777777" w:rsidR="00881B82" w:rsidRDefault="00881B82">
            <w:pPr>
              <w:spacing w:before="240" w:after="120" w:line="360" w:lineRule="auto"/>
              <w:rPr>
                <w:rFonts w:ascii="Century Gothic" w:eastAsia="Century Gothic" w:hAnsi="Century Gothic" w:cs="Century Gothic"/>
                <w:b/>
                <w:sz w:val="24"/>
                <w:szCs w:val="24"/>
                <w:shd w:val="clear" w:color="auto" w:fill="FEFFFF"/>
              </w:rPr>
            </w:pPr>
          </w:p>
          <w:p w14:paraId="2B562B55" w14:textId="77777777" w:rsidR="00881B82" w:rsidRDefault="00115120">
            <w:pPr>
              <w:jc w:val="both"/>
              <w:rPr>
                <w:rFonts w:ascii="Century Gothic" w:eastAsia="Century Gothic" w:hAnsi="Century Gothic" w:cs="Century Gothic"/>
                <w:i/>
                <w:sz w:val="18"/>
                <w:szCs w:val="18"/>
              </w:rPr>
            </w:pPr>
            <w:r>
              <w:rPr>
                <w:rFonts w:ascii="Century Gothic" w:eastAsia="Century Gothic" w:hAnsi="Century Gothic" w:cs="Century Gothic"/>
                <w:i/>
                <w:sz w:val="18"/>
                <w:szCs w:val="18"/>
              </w:rPr>
              <w:t>La presente hoja de firmas corresponde a la Iniciativa con carácter de DECRETO que busca declarar “2025, Año del Bicentenario de la Primera Constitución Política del Estado de Chihuahua”</w:t>
            </w:r>
          </w:p>
          <w:p w14:paraId="23C92190" w14:textId="77777777" w:rsidR="00881B82" w:rsidRDefault="00881B82">
            <w:pPr>
              <w:spacing w:before="240" w:after="120" w:line="360" w:lineRule="auto"/>
              <w:rPr>
                <w:rFonts w:ascii="Century Gothic" w:eastAsia="Century Gothic" w:hAnsi="Century Gothic" w:cs="Century Gothic"/>
                <w:b/>
                <w:sz w:val="24"/>
                <w:szCs w:val="24"/>
                <w:shd w:val="clear" w:color="auto" w:fill="FEFFFF"/>
              </w:rPr>
            </w:pPr>
          </w:p>
          <w:p w14:paraId="7619684D" w14:textId="77777777" w:rsidR="00881B82" w:rsidRDefault="00881B82">
            <w:pPr>
              <w:spacing w:before="240" w:after="120" w:line="360" w:lineRule="auto"/>
              <w:rPr>
                <w:rFonts w:ascii="Century Gothic" w:eastAsia="Century Gothic" w:hAnsi="Century Gothic" w:cs="Century Gothic"/>
                <w:b/>
                <w:sz w:val="24"/>
                <w:szCs w:val="24"/>
                <w:shd w:val="clear" w:color="auto" w:fill="FEFFFF"/>
              </w:rPr>
            </w:pPr>
          </w:p>
        </w:tc>
      </w:tr>
    </w:tbl>
    <w:p w14:paraId="2833E3A9" w14:textId="77777777" w:rsidR="00881B82" w:rsidRDefault="00881B82">
      <w:pPr>
        <w:pBdr>
          <w:top w:val="nil"/>
          <w:left w:val="nil"/>
          <w:bottom w:val="single" w:sz="6" w:space="0" w:color="000000"/>
          <w:right w:val="nil"/>
          <w:between w:val="nil"/>
        </w:pBdr>
        <w:spacing w:after="0" w:line="360" w:lineRule="auto"/>
        <w:jc w:val="both"/>
        <w:rPr>
          <w:rFonts w:ascii="Century Gothic" w:eastAsia="Century Gothic" w:hAnsi="Century Gothic" w:cs="Century Gothic"/>
          <w:b/>
          <w:color w:val="000000"/>
        </w:rPr>
      </w:pPr>
    </w:p>
    <w:p w14:paraId="558CA92F" w14:textId="77777777" w:rsidR="00881B82" w:rsidRDefault="00881B82">
      <w:pPr>
        <w:pBdr>
          <w:top w:val="nil"/>
          <w:left w:val="nil"/>
          <w:bottom w:val="single" w:sz="6" w:space="0" w:color="000000"/>
          <w:right w:val="nil"/>
          <w:between w:val="nil"/>
        </w:pBdr>
        <w:spacing w:after="0" w:line="360" w:lineRule="auto"/>
        <w:jc w:val="both"/>
        <w:rPr>
          <w:rFonts w:ascii="Century Gothic" w:eastAsia="Century Gothic" w:hAnsi="Century Gothic" w:cs="Century Gothic"/>
          <w:b/>
          <w:color w:val="000000"/>
        </w:rPr>
      </w:pPr>
    </w:p>
    <w:p w14:paraId="1106B47A" w14:textId="77777777" w:rsidR="00881B82" w:rsidRDefault="00881B82">
      <w:pPr>
        <w:pBdr>
          <w:top w:val="nil"/>
          <w:left w:val="nil"/>
          <w:bottom w:val="single" w:sz="6" w:space="0" w:color="000000"/>
          <w:right w:val="nil"/>
          <w:between w:val="nil"/>
        </w:pBdr>
        <w:spacing w:after="0" w:line="360" w:lineRule="auto"/>
        <w:jc w:val="both"/>
        <w:rPr>
          <w:rFonts w:ascii="Century Gothic" w:eastAsia="Century Gothic" w:hAnsi="Century Gothic" w:cs="Century Gothic"/>
          <w:b/>
          <w:color w:val="000000"/>
        </w:rPr>
      </w:pPr>
    </w:p>
    <w:sectPr w:rsidR="00881B82">
      <w:headerReference w:type="default" r:id="rId7"/>
      <w:pgSz w:w="12240" w:h="15840"/>
      <w:pgMar w:top="3119" w:right="1701" w:bottom="1985"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BD4B" w14:textId="77777777" w:rsidR="004A7FF5" w:rsidRDefault="004A7FF5">
      <w:pPr>
        <w:spacing w:after="0" w:line="240" w:lineRule="auto"/>
      </w:pPr>
      <w:r>
        <w:separator/>
      </w:r>
    </w:p>
  </w:endnote>
  <w:endnote w:type="continuationSeparator" w:id="0">
    <w:p w14:paraId="2FADA1BC" w14:textId="77777777" w:rsidR="004A7FF5" w:rsidRDefault="004A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Radle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F783" w14:textId="77777777" w:rsidR="004A7FF5" w:rsidRDefault="004A7FF5">
      <w:pPr>
        <w:spacing w:after="0" w:line="240" w:lineRule="auto"/>
      </w:pPr>
      <w:r>
        <w:separator/>
      </w:r>
    </w:p>
  </w:footnote>
  <w:footnote w:type="continuationSeparator" w:id="0">
    <w:p w14:paraId="673A9377" w14:textId="77777777" w:rsidR="004A7FF5" w:rsidRDefault="004A7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266CA" w14:textId="77777777" w:rsidR="00881B82" w:rsidRDefault="00115120">
    <w:pPr>
      <w:pBdr>
        <w:top w:val="nil"/>
        <w:left w:val="nil"/>
        <w:bottom w:val="nil"/>
        <w:right w:val="nil"/>
        <w:between w:val="nil"/>
      </w:pBdr>
      <w:tabs>
        <w:tab w:val="center" w:pos="4419"/>
        <w:tab w:val="right" w:pos="8838"/>
      </w:tabs>
      <w:spacing w:after="0" w:line="240" w:lineRule="auto"/>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“2024, Año del Bicentenario de la Fundación del Estado de Chihuahua”</w:t>
    </w:r>
  </w:p>
  <w:p w14:paraId="2CFDFDDE" w14:textId="77777777" w:rsidR="00881B82" w:rsidRDefault="00115120">
    <w:pPr>
      <w:tabs>
        <w:tab w:val="center" w:pos="4419"/>
        <w:tab w:val="right" w:pos="8838"/>
      </w:tabs>
      <w:spacing w:after="0" w:line="240" w:lineRule="auto"/>
      <w:jc w:val="right"/>
      <w:rPr>
        <w:rFonts w:ascii="Radley" w:eastAsia="Radley" w:hAnsi="Radley" w:cs="Radley"/>
        <w:color w:val="000000"/>
      </w:rPr>
    </w:pPr>
    <w:r>
      <w:rPr>
        <w:noProof/>
      </w:rPr>
      <w:drawing>
        <wp:inline distT="114300" distB="114300" distL="114300" distR="114300" wp14:anchorId="24C66132" wp14:editId="698B92AE">
          <wp:extent cx="810577" cy="81057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577" cy="810577"/>
                  </a:xfrm>
                  <a:prstGeom prst="rect">
                    <a:avLst/>
                  </a:prstGeom>
                  <a:ln/>
                </pic:spPr>
              </pic:pic>
            </a:graphicData>
          </a:graphic>
        </wp:inline>
      </w:drawing>
    </w:r>
  </w:p>
  <w:p w14:paraId="2701071D" w14:textId="77777777" w:rsidR="00881B82" w:rsidRDefault="00881B82">
    <w:pPr>
      <w:pBdr>
        <w:top w:val="nil"/>
        <w:left w:val="nil"/>
        <w:bottom w:val="nil"/>
        <w:right w:val="nil"/>
        <w:between w:val="nil"/>
      </w:pBdr>
      <w:tabs>
        <w:tab w:val="center" w:pos="4419"/>
        <w:tab w:val="right" w:pos="8838"/>
      </w:tabs>
      <w:spacing w:after="0" w:line="240" w:lineRule="auto"/>
      <w:rPr>
        <w:color w:val="000000"/>
      </w:rPr>
    </w:pPr>
  </w:p>
  <w:p w14:paraId="6D7AB8BA" w14:textId="77777777" w:rsidR="00881B82" w:rsidRDefault="00881B82">
    <w:pPr>
      <w:pBdr>
        <w:top w:val="nil"/>
        <w:left w:val="nil"/>
        <w:bottom w:val="nil"/>
        <w:right w:val="nil"/>
        <w:between w:val="nil"/>
      </w:pBdr>
      <w:tabs>
        <w:tab w:val="center" w:pos="4419"/>
        <w:tab w:val="right" w:pos="8838"/>
      </w:tabs>
      <w:spacing w:after="0" w:line="240" w:lineRule="auto"/>
      <w:rPr>
        <w:color w:val="000000"/>
      </w:rPr>
    </w:pPr>
  </w:p>
  <w:p w14:paraId="180DA591" w14:textId="77777777" w:rsidR="00881B82" w:rsidRDefault="00881B8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82"/>
    <w:rsid w:val="000F5385"/>
    <w:rsid w:val="00115120"/>
    <w:rsid w:val="002E23E8"/>
    <w:rsid w:val="004A7FF5"/>
    <w:rsid w:val="00881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750D"/>
  <w15:docId w15:val="{AA7D7679-D24B-4864-AC88-DCCE93CC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B51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117"/>
  </w:style>
  <w:style w:type="paragraph" w:styleId="Piedepgina">
    <w:name w:val="footer"/>
    <w:basedOn w:val="Normal"/>
    <w:link w:val="PiedepginaCar"/>
    <w:uiPriority w:val="99"/>
    <w:unhideWhenUsed/>
    <w:rsid w:val="006B51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117"/>
  </w:style>
  <w:style w:type="character" w:styleId="Textoennegrita">
    <w:name w:val="Strong"/>
    <w:basedOn w:val="Fuentedeprrafopredeter"/>
    <w:uiPriority w:val="22"/>
    <w:qFormat/>
    <w:rsid w:val="00681669"/>
    <w:rPr>
      <w:b/>
      <w:bCs/>
    </w:rPr>
  </w:style>
  <w:style w:type="character" w:customStyle="1" w:styleId="apple-converted-space">
    <w:name w:val="apple-converted-space"/>
    <w:basedOn w:val="Fuentedeprrafopredeter"/>
    <w:rsid w:val="00681669"/>
  </w:style>
  <w:style w:type="paragraph" w:styleId="Prrafodelista">
    <w:name w:val="List Paragraph"/>
    <w:basedOn w:val="Normal"/>
    <w:uiPriority w:val="34"/>
    <w:qFormat/>
    <w:rsid w:val="0016778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customStyle="1" w:styleId="s7">
    <w:name w:val="s7"/>
    <w:basedOn w:val="Normal"/>
    <w:rsid w:val="001E70CF"/>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QgxqWhU1+K/dP+Buxce8r7WUww==">CgMxLjA4AHIhMTRJcWg5bWVwZUZsV3VaY3N3S3VxZnFWVHU5MXVNWE1I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1249</Words>
  <Characters>6871</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Lorena González García</dc:creator>
  <cp:lastModifiedBy>Brenda Sarahi Gonzalez Dominguez</cp:lastModifiedBy>
  <cp:revision>2</cp:revision>
  <dcterms:created xsi:type="dcterms:W3CDTF">2024-10-02T20:09:00Z</dcterms:created>
  <dcterms:modified xsi:type="dcterms:W3CDTF">2024-10-02T20:09:00Z</dcterms:modified>
</cp:coreProperties>
</file>