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8301" w14:textId="77777777" w:rsidR="003428BE" w:rsidRDefault="003428BE">
      <w:pPr>
        <w:pStyle w:val="Ttulo1"/>
        <w:spacing w:line="360" w:lineRule="auto"/>
        <w:rPr>
          <w:rFonts w:ascii="Calibri" w:eastAsia="Calibri" w:hAnsi="Calibri" w:cs="Calibri"/>
          <w:color w:val="000000"/>
          <w:sz w:val="22"/>
          <w:szCs w:val="22"/>
          <w:u w:color="000000"/>
          <w:lang w:val="es-ES_tradnl"/>
        </w:rPr>
      </w:pPr>
    </w:p>
    <w:p w14:paraId="2AD3A271" w14:textId="77777777" w:rsidR="00524BD4" w:rsidRPr="00524BD4" w:rsidRDefault="00524BD4" w:rsidP="00524BD4">
      <w:pPr>
        <w:pStyle w:val="CuerpoA"/>
      </w:pPr>
    </w:p>
    <w:p w14:paraId="140BA42B" w14:textId="77777777" w:rsidR="00967E00" w:rsidRDefault="00967E00">
      <w:pPr>
        <w:pStyle w:val="Ttulo1"/>
        <w:spacing w:line="360" w:lineRule="auto"/>
        <w:rPr>
          <w:rStyle w:val="Ninguno"/>
          <w:rFonts w:ascii="Century Gothic" w:hAnsi="Century Gothic"/>
          <w:b/>
          <w:bCs/>
          <w:color w:val="000000"/>
          <w:sz w:val="26"/>
          <w:szCs w:val="26"/>
          <w:u w:color="000000"/>
        </w:rPr>
      </w:pPr>
    </w:p>
    <w:p w14:paraId="1DA5B44E" w14:textId="77777777" w:rsidR="00967E00" w:rsidRDefault="00967E00">
      <w:pPr>
        <w:pStyle w:val="Ttulo1"/>
        <w:spacing w:line="360" w:lineRule="auto"/>
        <w:rPr>
          <w:rStyle w:val="Ninguno"/>
          <w:rFonts w:ascii="Century Gothic" w:hAnsi="Century Gothic"/>
          <w:b/>
          <w:bCs/>
          <w:color w:val="000000"/>
          <w:sz w:val="26"/>
          <w:szCs w:val="26"/>
          <w:u w:color="000000"/>
        </w:rPr>
      </w:pPr>
    </w:p>
    <w:p w14:paraId="7902CE07" w14:textId="77777777" w:rsidR="0013387E" w:rsidRPr="004F02CD" w:rsidRDefault="00F55A15">
      <w:pPr>
        <w:pStyle w:val="Ttulo1"/>
        <w:spacing w:line="360" w:lineRule="auto"/>
        <w:rPr>
          <w:rStyle w:val="Ninguno"/>
          <w:rFonts w:ascii="Arial" w:eastAsia="Century Gothic" w:hAnsi="Arial" w:cs="Arial"/>
          <w:b/>
          <w:bCs/>
          <w:color w:val="000000"/>
          <w:sz w:val="24"/>
          <w:szCs w:val="24"/>
          <w:u w:color="000000"/>
        </w:rPr>
      </w:pPr>
      <w:r w:rsidRPr="004F02CD">
        <w:rPr>
          <w:rStyle w:val="Ninguno"/>
          <w:rFonts w:ascii="Arial" w:hAnsi="Arial" w:cs="Arial"/>
          <w:b/>
          <w:bCs/>
          <w:color w:val="000000"/>
          <w:sz w:val="24"/>
          <w:szCs w:val="24"/>
          <w:u w:color="000000"/>
        </w:rPr>
        <w:t>H. CONGRESO DEL ESTADO DE CHIHUAHUA.</w:t>
      </w:r>
    </w:p>
    <w:p w14:paraId="7BA6DD7F" w14:textId="1D9116DA" w:rsidR="0013387E" w:rsidRDefault="00F55A15">
      <w:pPr>
        <w:pStyle w:val="CuerpoAA"/>
        <w:spacing w:after="0" w:line="360" w:lineRule="auto"/>
        <w:jc w:val="both"/>
        <w:rPr>
          <w:rStyle w:val="Ninguno"/>
          <w:rFonts w:ascii="Arial" w:hAnsi="Arial" w:cs="Arial"/>
          <w:b/>
          <w:bCs/>
          <w:sz w:val="24"/>
          <w:szCs w:val="24"/>
        </w:rPr>
      </w:pPr>
      <w:r w:rsidRPr="004F02CD">
        <w:rPr>
          <w:rStyle w:val="Ninguno"/>
          <w:rFonts w:ascii="Arial" w:hAnsi="Arial" w:cs="Arial"/>
          <w:b/>
          <w:bCs/>
          <w:sz w:val="24"/>
          <w:szCs w:val="24"/>
        </w:rPr>
        <w:t>P R E S E N T E.-</w:t>
      </w:r>
    </w:p>
    <w:p w14:paraId="62266297" w14:textId="77777777" w:rsidR="009728C7" w:rsidRPr="004F02CD" w:rsidRDefault="009728C7">
      <w:pPr>
        <w:pStyle w:val="CuerpoAA"/>
        <w:spacing w:after="0" w:line="360" w:lineRule="auto"/>
        <w:jc w:val="both"/>
        <w:rPr>
          <w:rStyle w:val="Ninguno"/>
          <w:rFonts w:ascii="Arial" w:eastAsia="Century Gothic" w:hAnsi="Arial" w:cs="Arial"/>
          <w:b/>
          <w:bCs/>
          <w:sz w:val="24"/>
          <w:szCs w:val="24"/>
        </w:rPr>
      </w:pPr>
    </w:p>
    <w:p w14:paraId="4B8C5430" w14:textId="77777777" w:rsidR="0013387E" w:rsidRPr="004F02CD" w:rsidRDefault="00F55A15">
      <w:pPr>
        <w:pStyle w:val="CuerpoAA"/>
        <w:spacing w:after="0" w:line="360" w:lineRule="auto"/>
        <w:jc w:val="both"/>
        <w:rPr>
          <w:rStyle w:val="Ninguno"/>
          <w:rFonts w:ascii="Arial" w:eastAsia="Century Gothic" w:hAnsi="Arial" w:cs="Arial"/>
          <w:b/>
          <w:bCs/>
          <w:sz w:val="24"/>
          <w:szCs w:val="24"/>
        </w:rPr>
      </w:pPr>
      <w:r w:rsidRPr="004F02CD">
        <w:rPr>
          <w:rStyle w:val="Ninguno"/>
          <w:rFonts w:ascii="Arial" w:hAnsi="Arial" w:cs="Arial"/>
          <w:sz w:val="24"/>
          <w:szCs w:val="24"/>
        </w:rPr>
        <w:t>Quienes suscriben,</w:t>
      </w:r>
      <w:r w:rsidRPr="004F02CD">
        <w:rPr>
          <w:rStyle w:val="Ninguno"/>
          <w:rFonts w:ascii="Arial" w:hAnsi="Arial" w:cs="Arial"/>
          <w:b/>
          <w:bCs/>
          <w:sz w:val="24"/>
          <w:szCs w:val="24"/>
        </w:rPr>
        <w:t xml:space="preserve"> </w:t>
      </w:r>
      <w:r w:rsidR="0078746A" w:rsidRPr="004F02CD">
        <w:rPr>
          <w:rFonts w:ascii="Arial" w:hAnsi="Arial" w:cs="Arial"/>
          <w:b/>
          <w:bCs/>
          <w:sz w:val="24"/>
          <w:szCs w:val="24"/>
        </w:rPr>
        <w:t>María</w:t>
      </w:r>
      <w:r w:rsidRPr="004F02CD">
        <w:rPr>
          <w:rFonts w:ascii="Arial" w:hAnsi="Arial" w:cs="Arial"/>
          <w:b/>
          <w:bCs/>
          <w:sz w:val="24"/>
          <w:szCs w:val="24"/>
        </w:rPr>
        <w:t xml:space="preserve"> Antonieta Pérez Reyes, Edin Cuauhtémoc Estrada Sotelo, Leticia Ortega Máynez, Óscar Daniel Avitia Arellanes, Rosana Díaz Reyes, </w:t>
      </w:r>
      <w:r w:rsidR="0064552E">
        <w:rPr>
          <w:rFonts w:ascii="Arial" w:hAnsi="Arial" w:cs="Arial"/>
          <w:b/>
          <w:bCs/>
          <w:sz w:val="24"/>
          <w:szCs w:val="24"/>
        </w:rPr>
        <w:t xml:space="preserve">Brenda Francisca </w:t>
      </w:r>
      <w:proofErr w:type="spellStart"/>
      <w:r w:rsidR="0064552E">
        <w:rPr>
          <w:rFonts w:ascii="Arial" w:hAnsi="Arial" w:cs="Arial"/>
          <w:b/>
          <w:bCs/>
          <w:sz w:val="24"/>
          <w:szCs w:val="24"/>
        </w:rPr>
        <w:t>Rios</w:t>
      </w:r>
      <w:proofErr w:type="spellEnd"/>
      <w:r w:rsidR="0064552E">
        <w:rPr>
          <w:rFonts w:ascii="Arial" w:hAnsi="Arial" w:cs="Arial"/>
          <w:b/>
          <w:bCs/>
          <w:sz w:val="24"/>
          <w:szCs w:val="24"/>
        </w:rPr>
        <w:t xml:space="preserve"> Prieto</w:t>
      </w:r>
      <w:r w:rsidRPr="004F02CD">
        <w:rPr>
          <w:rFonts w:ascii="Arial" w:hAnsi="Arial" w:cs="Arial"/>
          <w:b/>
          <w:bCs/>
          <w:sz w:val="24"/>
          <w:szCs w:val="24"/>
        </w:rPr>
        <w:t xml:space="preserve">, Magdalena Rentería Pérez, </w:t>
      </w:r>
      <w:r w:rsidR="0064552E">
        <w:rPr>
          <w:rFonts w:ascii="Arial" w:hAnsi="Arial" w:cs="Arial"/>
          <w:b/>
          <w:bCs/>
          <w:sz w:val="24"/>
          <w:szCs w:val="24"/>
        </w:rPr>
        <w:t xml:space="preserve">Elizabeth </w:t>
      </w:r>
      <w:proofErr w:type="spellStart"/>
      <w:r w:rsidR="0064552E">
        <w:rPr>
          <w:rFonts w:ascii="Arial" w:hAnsi="Arial" w:cs="Arial"/>
          <w:b/>
          <w:bCs/>
          <w:sz w:val="24"/>
          <w:szCs w:val="24"/>
        </w:rPr>
        <w:t>Guzman</w:t>
      </w:r>
      <w:proofErr w:type="spellEnd"/>
      <w:r w:rsidR="0064552E">
        <w:rPr>
          <w:rFonts w:ascii="Arial" w:hAnsi="Arial" w:cs="Arial"/>
          <w:b/>
          <w:bCs/>
          <w:sz w:val="24"/>
          <w:szCs w:val="24"/>
        </w:rPr>
        <w:t xml:space="preserve"> Argueta</w:t>
      </w:r>
      <w:r w:rsidRPr="004F02CD">
        <w:rPr>
          <w:rFonts w:ascii="Arial" w:hAnsi="Arial" w:cs="Arial"/>
          <w:b/>
          <w:bCs/>
          <w:sz w:val="24"/>
          <w:szCs w:val="24"/>
        </w:rPr>
        <w:t xml:space="preserve">, </w:t>
      </w:r>
      <w:r w:rsidR="0064552E">
        <w:rPr>
          <w:rFonts w:ascii="Arial" w:hAnsi="Arial" w:cs="Arial"/>
          <w:b/>
          <w:bCs/>
          <w:sz w:val="24"/>
          <w:szCs w:val="24"/>
        </w:rPr>
        <w:t>Pedro Torres Estrada</w:t>
      </w:r>
      <w:r w:rsidRPr="004F02CD">
        <w:rPr>
          <w:rFonts w:ascii="Arial" w:hAnsi="Arial" w:cs="Arial"/>
          <w:b/>
          <w:bCs/>
          <w:sz w:val="24"/>
          <w:szCs w:val="24"/>
        </w:rPr>
        <w:t>,</w:t>
      </w:r>
      <w:r w:rsidR="0004040E">
        <w:rPr>
          <w:rFonts w:ascii="Arial" w:hAnsi="Arial" w:cs="Arial"/>
          <w:b/>
          <w:bCs/>
          <w:sz w:val="24"/>
          <w:szCs w:val="24"/>
        </w:rPr>
        <w:t xml:space="preserve"> Herminia </w:t>
      </w:r>
      <w:proofErr w:type="spellStart"/>
      <w:r w:rsidR="0004040E">
        <w:rPr>
          <w:rFonts w:ascii="Arial" w:hAnsi="Arial" w:cs="Arial"/>
          <w:b/>
          <w:bCs/>
          <w:sz w:val="24"/>
          <w:szCs w:val="24"/>
        </w:rPr>
        <w:t>Gomez</w:t>
      </w:r>
      <w:proofErr w:type="spellEnd"/>
      <w:r w:rsidR="0004040E">
        <w:rPr>
          <w:rFonts w:ascii="Arial" w:hAnsi="Arial" w:cs="Arial"/>
          <w:b/>
          <w:bCs/>
          <w:sz w:val="24"/>
          <w:szCs w:val="24"/>
        </w:rPr>
        <w:t xml:space="preserve"> Carrasco</w:t>
      </w:r>
      <w:r w:rsidRPr="004F02CD">
        <w:rPr>
          <w:rFonts w:ascii="Arial" w:hAnsi="Arial" w:cs="Arial"/>
          <w:b/>
          <w:bCs/>
          <w:sz w:val="24"/>
          <w:szCs w:val="24"/>
        </w:rPr>
        <w:t xml:space="preserve"> y Jael Argüelles Díaz</w:t>
      </w:r>
      <w:r w:rsidRPr="004F02CD">
        <w:rPr>
          <w:rStyle w:val="Ninguno"/>
          <w:rFonts w:ascii="Arial" w:hAnsi="Arial" w:cs="Arial"/>
          <w:b/>
          <w:bCs/>
          <w:sz w:val="24"/>
          <w:szCs w:val="24"/>
        </w:rPr>
        <w:t>,</w:t>
      </w:r>
      <w:r w:rsidRPr="004F02CD">
        <w:rPr>
          <w:rStyle w:val="Ninguno"/>
          <w:rFonts w:ascii="Arial" w:hAnsi="Arial" w:cs="Arial"/>
          <w:sz w:val="24"/>
          <w:szCs w:val="24"/>
        </w:rPr>
        <w:t xml:space="preserve"> en nuestro carácter de Di</w:t>
      </w:r>
      <w:r w:rsidR="0004040E">
        <w:rPr>
          <w:rStyle w:val="Ninguno"/>
          <w:rFonts w:ascii="Arial" w:hAnsi="Arial" w:cs="Arial"/>
          <w:sz w:val="24"/>
          <w:szCs w:val="24"/>
        </w:rPr>
        <w:t>putados de la Sexagésima Octava</w:t>
      </w:r>
      <w:r w:rsidRPr="004F02CD">
        <w:rPr>
          <w:rStyle w:val="Ninguno"/>
          <w:rFonts w:ascii="Arial" w:hAnsi="Arial" w:cs="Arial"/>
          <w:sz w:val="24"/>
          <w:szCs w:val="24"/>
        </w:rPr>
        <w:t xml:space="preserve">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4F02CD">
        <w:rPr>
          <w:rFonts w:ascii="Arial" w:hAnsi="Arial" w:cs="Arial"/>
          <w:b/>
          <w:bCs/>
          <w:sz w:val="24"/>
          <w:szCs w:val="24"/>
        </w:rPr>
        <w:t>Proposición</w:t>
      </w:r>
      <w:r w:rsidRPr="004F02CD">
        <w:rPr>
          <w:rStyle w:val="Ninguno"/>
          <w:rFonts w:ascii="Arial" w:hAnsi="Arial" w:cs="Arial"/>
          <w:b/>
          <w:bCs/>
          <w:sz w:val="24"/>
          <w:szCs w:val="24"/>
          <w:lang w:val="it-IT"/>
        </w:rPr>
        <w:t xml:space="preserve"> con car</w:t>
      </w:r>
      <w:proofErr w:type="spellStart"/>
      <w:r w:rsidRPr="004F02CD">
        <w:rPr>
          <w:rFonts w:ascii="Arial" w:hAnsi="Arial" w:cs="Arial"/>
          <w:b/>
          <w:bCs/>
          <w:sz w:val="24"/>
          <w:szCs w:val="24"/>
        </w:rPr>
        <w:t>ácter</w:t>
      </w:r>
      <w:proofErr w:type="spellEnd"/>
      <w:r w:rsidRPr="004F02CD">
        <w:rPr>
          <w:rFonts w:ascii="Arial" w:hAnsi="Arial" w:cs="Arial"/>
          <w:b/>
          <w:bCs/>
          <w:sz w:val="24"/>
          <w:szCs w:val="24"/>
        </w:rPr>
        <w:t xml:space="preserve"> de Punto de Acuerdo</w:t>
      </w:r>
      <w:r w:rsidRPr="004F02CD">
        <w:rPr>
          <w:rStyle w:val="Ninguno"/>
          <w:rFonts w:ascii="Arial" w:hAnsi="Arial" w:cs="Arial"/>
          <w:b/>
          <w:bCs/>
          <w:sz w:val="24"/>
          <w:szCs w:val="24"/>
        </w:rPr>
        <w:t xml:space="preserve">, </w:t>
      </w:r>
      <w:r w:rsidRPr="004F02CD">
        <w:rPr>
          <w:rFonts w:ascii="Arial" w:hAnsi="Arial" w:cs="Arial"/>
          <w:b/>
          <w:bCs/>
          <w:sz w:val="24"/>
          <w:szCs w:val="24"/>
        </w:rPr>
        <w:t>para exhortar atenta y respetuosamente a la</w:t>
      </w:r>
      <w:r w:rsidR="007B2483" w:rsidRPr="004F02CD">
        <w:rPr>
          <w:rFonts w:ascii="Arial" w:hAnsi="Arial" w:cs="Arial"/>
          <w:b/>
          <w:bCs/>
          <w:sz w:val="24"/>
          <w:szCs w:val="24"/>
        </w:rPr>
        <w:t>:</w:t>
      </w:r>
      <w:r w:rsidRPr="004F02CD">
        <w:rPr>
          <w:rFonts w:ascii="Arial" w:hAnsi="Arial" w:cs="Arial"/>
          <w:b/>
          <w:bCs/>
          <w:sz w:val="24"/>
          <w:szCs w:val="24"/>
        </w:rPr>
        <w:t xml:space="preserve"> </w:t>
      </w:r>
    </w:p>
    <w:p w14:paraId="61868370"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Procuraduría Federal de Protección al Medio Ambiente (PROFEPA)</w:t>
      </w:r>
    </w:p>
    <w:p w14:paraId="006D3CE7"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Secretaria de Medio Ambiente y Recursos Naturales (SEMARNAT)</w:t>
      </w:r>
    </w:p>
    <w:p w14:paraId="79C61BE4" w14:textId="77777777" w:rsidR="007B2483" w:rsidRDefault="007B2483" w:rsidP="007B2483">
      <w:pPr>
        <w:spacing w:line="360" w:lineRule="auto"/>
        <w:jc w:val="both"/>
        <w:rPr>
          <w:rFonts w:ascii="Arial" w:hAnsi="Arial" w:cs="Arial"/>
          <w:bCs/>
          <w:lang w:val="es-MX"/>
        </w:rPr>
      </w:pPr>
      <w:r w:rsidRPr="004F02CD">
        <w:rPr>
          <w:rFonts w:ascii="Arial" w:hAnsi="Arial" w:cs="Arial"/>
          <w:bCs/>
          <w:lang w:val="es-MX"/>
        </w:rPr>
        <w:t>Comisión Nacional para el Conocimiento y Uso de Biodiversidad (CONABIO)</w:t>
      </w:r>
    </w:p>
    <w:p w14:paraId="4028FFF4" w14:textId="77777777" w:rsidR="0064552E" w:rsidRDefault="0064552E" w:rsidP="007B2483">
      <w:pPr>
        <w:spacing w:line="360" w:lineRule="auto"/>
        <w:jc w:val="both"/>
        <w:rPr>
          <w:rFonts w:ascii="Arial" w:hAnsi="Arial" w:cs="Arial"/>
          <w:bCs/>
          <w:lang w:val="es-MX"/>
        </w:rPr>
      </w:pPr>
      <w:proofErr w:type="spellStart"/>
      <w:r>
        <w:rPr>
          <w:rFonts w:ascii="Arial" w:hAnsi="Arial" w:cs="Arial"/>
          <w:bCs/>
          <w:lang w:val="es-MX"/>
        </w:rPr>
        <w:t>Comision</w:t>
      </w:r>
      <w:proofErr w:type="spellEnd"/>
      <w:r>
        <w:rPr>
          <w:rFonts w:ascii="Arial" w:hAnsi="Arial" w:cs="Arial"/>
          <w:bCs/>
          <w:lang w:val="es-MX"/>
        </w:rPr>
        <w:t xml:space="preserve"> Nacional del Agua (CONAGUA)</w:t>
      </w:r>
    </w:p>
    <w:p w14:paraId="7FEFF7E6" w14:textId="77777777" w:rsidR="0064552E" w:rsidRPr="004F02CD" w:rsidRDefault="0064552E" w:rsidP="007B2483">
      <w:pPr>
        <w:spacing w:line="360" w:lineRule="auto"/>
        <w:jc w:val="both"/>
        <w:rPr>
          <w:rFonts w:ascii="Arial" w:hAnsi="Arial" w:cs="Arial"/>
          <w:bCs/>
          <w:lang w:val="es-MX"/>
        </w:rPr>
      </w:pPr>
    </w:p>
    <w:p w14:paraId="34061E9A" w14:textId="77777777" w:rsidR="0064552E" w:rsidRPr="004F02CD" w:rsidRDefault="0004040E" w:rsidP="0004040E">
      <w:pPr>
        <w:pStyle w:val="CuerpoAA"/>
        <w:spacing w:after="0" w:line="360" w:lineRule="auto"/>
        <w:rPr>
          <w:rStyle w:val="Ninguno"/>
          <w:rFonts w:ascii="Arial" w:hAnsi="Arial" w:cs="Arial"/>
          <w:b/>
          <w:bCs/>
          <w:sz w:val="24"/>
          <w:szCs w:val="24"/>
          <w:lang w:val="es-MX"/>
        </w:rPr>
      </w:pPr>
      <w:r w:rsidRPr="0004040E">
        <w:rPr>
          <w:rStyle w:val="Ninguno"/>
          <w:rFonts w:ascii="Arial" w:hAnsi="Arial" w:cs="Arial"/>
          <w:bCs/>
          <w:sz w:val="24"/>
          <w:szCs w:val="24"/>
          <w:lang w:val="es-MX"/>
        </w:rPr>
        <w:t xml:space="preserve">En base a </w:t>
      </w:r>
      <w:r>
        <w:rPr>
          <w:rStyle w:val="Ninguno"/>
          <w:rFonts w:ascii="Arial" w:hAnsi="Arial" w:cs="Arial"/>
          <w:bCs/>
          <w:sz w:val="24"/>
          <w:szCs w:val="24"/>
          <w:lang w:val="es-MX"/>
        </w:rPr>
        <w:t>la siguiente</w:t>
      </w:r>
      <w:r>
        <w:rPr>
          <w:rStyle w:val="Ninguno"/>
          <w:rFonts w:ascii="Arial" w:hAnsi="Arial" w:cs="Arial"/>
          <w:b/>
          <w:bCs/>
          <w:sz w:val="24"/>
          <w:szCs w:val="24"/>
          <w:lang w:val="es-MX"/>
        </w:rPr>
        <w:t>:</w:t>
      </w:r>
    </w:p>
    <w:p w14:paraId="69D0D116" w14:textId="77777777" w:rsidR="0078746A" w:rsidRPr="0004040E" w:rsidRDefault="0078746A">
      <w:pPr>
        <w:pStyle w:val="CuerpoAA"/>
        <w:spacing w:after="0" w:line="360" w:lineRule="auto"/>
        <w:jc w:val="center"/>
        <w:rPr>
          <w:rStyle w:val="Ninguno"/>
          <w:rFonts w:ascii="Arial" w:hAnsi="Arial" w:cs="Arial"/>
          <w:b/>
          <w:bCs/>
          <w:sz w:val="24"/>
          <w:szCs w:val="24"/>
          <w:lang w:val="es-MX"/>
        </w:rPr>
      </w:pPr>
    </w:p>
    <w:p w14:paraId="0AF21C5A" w14:textId="77777777" w:rsidR="0004040E" w:rsidRDefault="0004040E">
      <w:pPr>
        <w:pStyle w:val="CuerpoAA"/>
        <w:spacing w:after="0" w:line="360" w:lineRule="auto"/>
        <w:jc w:val="center"/>
        <w:rPr>
          <w:rStyle w:val="Ninguno"/>
          <w:rFonts w:ascii="Arial" w:hAnsi="Arial" w:cs="Arial"/>
          <w:b/>
          <w:bCs/>
          <w:sz w:val="24"/>
          <w:szCs w:val="24"/>
          <w:lang w:val="pt-PT"/>
        </w:rPr>
      </w:pPr>
    </w:p>
    <w:p w14:paraId="053656A1" w14:textId="77777777" w:rsidR="0004040E" w:rsidRDefault="0004040E">
      <w:pPr>
        <w:pStyle w:val="CuerpoAA"/>
        <w:spacing w:after="0" w:line="360" w:lineRule="auto"/>
        <w:jc w:val="center"/>
        <w:rPr>
          <w:rStyle w:val="Ninguno"/>
          <w:rFonts w:ascii="Arial" w:hAnsi="Arial" w:cs="Arial"/>
          <w:b/>
          <w:bCs/>
          <w:sz w:val="24"/>
          <w:szCs w:val="24"/>
          <w:lang w:val="pt-PT"/>
        </w:rPr>
      </w:pPr>
    </w:p>
    <w:p w14:paraId="10A61F3B" w14:textId="77777777" w:rsidR="0004040E" w:rsidRDefault="0004040E">
      <w:pPr>
        <w:pStyle w:val="CuerpoAA"/>
        <w:spacing w:after="0" w:line="360" w:lineRule="auto"/>
        <w:jc w:val="center"/>
        <w:rPr>
          <w:rStyle w:val="Ninguno"/>
          <w:rFonts w:ascii="Arial" w:hAnsi="Arial" w:cs="Arial"/>
          <w:b/>
          <w:bCs/>
          <w:sz w:val="24"/>
          <w:szCs w:val="24"/>
          <w:lang w:val="pt-PT"/>
        </w:rPr>
      </w:pPr>
    </w:p>
    <w:p w14:paraId="5008CB83" w14:textId="77777777" w:rsidR="0004040E" w:rsidRDefault="0004040E">
      <w:pPr>
        <w:pStyle w:val="CuerpoAA"/>
        <w:spacing w:after="0" w:line="360" w:lineRule="auto"/>
        <w:jc w:val="center"/>
        <w:rPr>
          <w:rStyle w:val="Ninguno"/>
          <w:rFonts w:ascii="Arial" w:hAnsi="Arial" w:cs="Arial"/>
          <w:b/>
          <w:bCs/>
          <w:sz w:val="24"/>
          <w:szCs w:val="24"/>
          <w:lang w:val="pt-PT"/>
        </w:rPr>
      </w:pPr>
    </w:p>
    <w:p w14:paraId="7C743974" w14:textId="77777777" w:rsidR="0013387E" w:rsidRPr="004F02CD" w:rsidRDefault="00F55A15">
      <w:pPr>
        <w:pStyle w:val="CuerpoAA"/>
        <w:spacing w:after="0" w:line="360" w:lineRule="auto"/>
        <w:jc w:val="center"/>
        <w:rPr>
          <w:rStyle w:val="Ninguno"/>
          <w:rFonts w:ascii="Arial" w:eastAsia="Century Gothic" w:hAnsi="Arial" w:cs="Arial"/>
          <w:b/>
          <w:bCs/>
          <w:sz w:val="24"/>
          <w:szCs w:val="24"/>
        </w:rPr>
      </w:pPr>
      <w:r w:rsidRPr="004F02CD">
        <w:rPr>
          <w:rStyle w:val="Ninguno"/>
          <w:rFonts w:ascii="Arial" w:hAnsi="Arial" w:cs="Arial"/>
          <w:b/>
          <w:bCs/>
          <w:sz w:val="24"/>
          <w:szCs w:val="24"/>
          <w:lang w:val="pt-PT"/>
        </w:rPr>
        <w:t>EXPOSICI</w:t>
      </w:r>
      <w:r w:rsidRPr="004F02CD">
        <w:rPr>
          <w:rStyle w:val="Ninguno"/>
          <w:rFonts w:ascii="Arial" w:hAnsi="Arial" w:cs="Arial"/>
          <w:b/>
          <w:bCs/>
          <w:sz w:val="24"/>
          <w:szCs w:val="24"/>
        </w:rPr>
        <w:t>ÓN DE MOTIVOS</w:t>
      </w:r>
    </w:p>
    <w:p w14:paraId="11CD0151" w14:textId="77777777" w:rsidR="00967E00" w:rsidRPr="004F02CD" w:rsidRDefault="00F55A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Arial" w:hAnsi="Arial" w:cs="Arial"/>
          <w:color w:val="212121"/>
          <w:sz w:val="24"/>
          <w:szCs w:val="24"/>
          <w:shd w:val="clear" w:color="auto" w:fill="FFFFFF"/>
        </w:rPr>
      </w:pPr>
      <w:r w:rsidRPr="004F02CD">
        <w:rPr>
          <w:rStyle w:val="Ninguno"/>
          <w:rFonts w:ascii="Arial" w:hAnsi="Arial" w:cs="Arial"/>
          <w:color w:val="212121"/>
          <w:sz w:val="24"/>
          <w:szCs w:val="24"/>
          <w:shd w:val="clear" w:color="auto" w:fill="FFFFFF"/>
        </w:rPr>
        <w:t xml:space="preserve"> </w:t>
      </w:r>
    </w:p>
    <w:p w14:paraId="00B842BE" w14:textId="77777777" w:rsidR="0013387E" w:rsidRPr="004F02CD" w:rsidRDefault="00F55A15"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Style w:val="Ninguno"/>
          <w:rFonts w:ascii="Arial" w:eastAsia="Arial" w:hAnsi="Arial" w:cs="Arial"/>
          <w:sz w:val="24"/>
          <w:szCs w:val="24"/>
          <w:shd w:val="clear" w:color="auto" w:fill="FFFFFF"/>
        </w:rPr>
      </w:pPr>
      <w:r w:rsidRPr="004F02CD">
        <w:rPr>
          <w:rFonts w:ascii="Arial" w:hAnsi="Arial" w:cs="Arial"/>
          <w:sz w:val="24"/>
          <w:szCs w:val="24"/>
          <w:shd w:val="clear" w:color="auto" w:fill="FFFFFF"/>
        </w:rPr>
        <w:t> </w:t>
      </w:r>
    </w:p>
    <w:p w14:paraId="37E51CFC"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 xml:space="preserve">Ferromex (empresa del Grupo México de German Larrea, fundada en </w:t>
      </w:r>
      <w:proofErr w:type="gramStart"/>
      <w:r w:rsidRPr="004F02CD">
        <w:rPr>
          <w:rFonts w:ascii="Arial" w:hAnsi="Arial" w:cs="Arial"/>
          <w:bCs/>
          <w:lang w:val="es-MX"/>
        </w:rPr>
        <w:t>1998 .</w:t>
      </w:r>
      <w:proofErr w:type="gramEnd"/>
    </w:p>
    <w:p w14:paraId="6B95BE98"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después de la privatización de ferrocarriles de México por Ernesto Zedillo en 1995).</w:t>
      </w:r>
    </w:p>
    <w:p w14:paraId="6ABDCAB9" w14:textId="77777777" w:rsidR="007B2483" w:rsidRPr="004F02CD" w:rsidRDefault="007B2483" w:rsidP="007B2483">
      <w:pPr>
        <w:spacing w:line="360" w:lineRule="auto"/>
        <w:jc w:val="both"/>
        <w:rPr>
          <w:rFonts w:ascii="Arial" w:hAnsi="Arial" w:cs="Arial"/>
          <w:bCs/>
          <w:lang w:val="es-MX"/>
        </w:rPr>
      </w:pPr>
    </w:p>
    <w:p w14:paraId="0E16FEA4"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 xml:space="preserve">Nuevamente esta empresa se vio involucrada en otro evento lamentable de </w:t>
      </w:r>
      <w:proofErr w:type="spellStart"/>
      <w:r w:rsidRPr="004F02CD">
        <w:rPr>
          <w:rFonts w:ascii="Arial" w:hAnsi="Arial" w:cs="Arial"/>
          <w:bCs/>
          <w:lang w:val="es-MX"/>
        </w:rPr>
        <w:t>perdida</w:t>
      </w:r>
      <w:proofErr w:type="spellEnd"/>
      <w:r w:rsidRPr="004F02CD">
        <w:rPr>
          <w:rFonts w:ascii="Arial" w:hAnsi="Arial" w:cs="Arial"/>
          <w:bCs/>
          <w:lang w:val="es-MX"/>
        </w:rPr>
        <w:t xml:space="preserve"> de vidas humanas y afectación severa ambiental. La noche del 3 de septiembre del año en curso 6 carro tanques se descarrilaron en el municipio de Villa Ahumada derramando 53,000 litros de ácido sulfúrico, así como una cantidad considerable de cloro.</w:t>
      </w:r>
    </w:p>
    <w:p w14:paraId="23338E7B" w14:textId="77777777" w:rsidR="007B2483" w:rsidRPr="004F02CD" w:rsidRDefault="007B2483" w:rsidP="007B2483">
      <w:pPr>
        <w:spacing w:line="360" w:lineRule="auto"/>
        <w:jc w:val="both"/>
        <w:rPr>
          <w:rFonts w:ascii="Arial" w:hAnsi="Arial" w:cs="Arial"/>
          <w:bCs/>
          <w:lang w:val="es-MX"/>
        </w:rPr>
      </w:pPr>
    </w:p>
    <w:p w14:paraId="0BEDC14E"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Desafortunadamente en este evento 4 migrantes sufrieron heridas y un menor perdió la vida.</w:t>
      </w:r>
    </w:p>
    <w:p w14:paraId="3B1D7ECA" w14:textId="77777777" w:rsidR="007B2483" w:rsidRPr="004F02CD" w:rsidRDefault="007B2483" w:rsidP="007B2483">
      <w:pPr>
        <w:spacing w:line="360" w:lineRule="auto"/>
        <w:jc w:val="both"/>
        <w:rPr>
          <w:rFonts w:ascii="Arial" w:hAnsi="Arial" w:cs="Arial"/>
          <w:bCs/>
          <w:lang w:val="es-MX"/>
        </w:rPr>
      </w:pPr>
    </w:p>
    <w:p w14:paraId="7595E0B9"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 xml:space="preserve">El ejército informo que derivado de </w:t>
      </w:r>
      <w:proofErr w:type="gramStart"/>
      <w:r w:rsidRPr="004F02CD">
        <w:rPr>
          <w:rFonts w:ascii="Arial" w:hAnsi="Arial" w:cs="Arial"/>
          <w:bCs/>
          <w:lang w:val="es-MX"/>
        </w:rPr>
        <w:t>éste</w:t>
      </w:r>
      <w:proofErr w:type="gramEnd"/>
      <w:r w:rsidRPr="004F02CD">
        <w:rPr>
          <w:rFonts w:ascii="Arial" w:hAnsi="Arial" w:cs="Arial"/>
          <w:bCs/>
          <w:lang w:val="es-MX"/>
        </w:rPr>
        <w:t xml:space="preserve"> accidente que ocasionó el derrame cuantioso de material peligroso para la salud y el medio ambiente se activó el Plan DN-III mientras que la guardia nacional cercó el área.</w:t>
      </w:r>
    </w:p>
    <w:p w14:paraId="11DB1524" w14:textId="77777777" w:rsidR="007B2483" w:rsidRPr="004F02CD" w:rsidRDefault="007B2483" w:rsidP="007B2483">
      <w:pPr>
        <w:spacing w:line="360" w:lineRule="auto"/>
        <w:jc w:val="both"/>
        <w:rPr>
          <w:rFonts w:ascii="Arial" w:hAnsi="Arial" w:cs="Arial"/>
          <w:bCs/>
          <w:lang w:val="es-MX"/>
        </w:rPr>
      </w:pPr>
    </w:p>
    <w:p w14:paraId="1CC6CA57" w14:textId="77777777" w:rsidR="007B2483" w:rsidRPr="004F02CD" w:rsidRDefault="007B2483" w:rsidP="007B2483">
      <w:pPr>
        <w:spacing w:line="360" w:lineRule="auto"/>
        <w:jc w:val="both"/>
        <w:rPr>
          <w:rFonts w:ascii="Arial" w:hAnsi="Arial" w:cs="Arial"/>
          <w:bCs/>
          <w:lang w:val="es-MX"/>
        </w:rPr>
      </w:pPr>
    </w:p>
    <w:p w14:paraId="114D314B" w14:textId="77777777" w:rsidR="007B2483" w:rsidRPr="004F02CD" w:rsidRDefault="007B2483" w:rsidP="007B2483">
      <w:pPr>
        <w:spacing w:line="360" w:lineRule="auto"/>
        <w:jc w:val="both"/>
        <w:rPr>
          <w:rFonts w:ascii="Arial" w:hAnsi="Arial" w:cs="Arial"/>
          <w:bCs/>
          <w:lang w:val="es-MX"/>
        </w:rPr>
      </w:pPr>
    </w:p>
    <w:p w14:paraId="5968BAE0"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UNA HISTORIA DE IMPUNIDAD Y DESASTRES PROVOCADOS POR EL GRUPO MEXICO.</w:t>
      </w:r>
    </w:p>
    <w:p w14:paraId="21D5F8CC" w14:textId="77777777" w:rsidR="007B2483" w:rsidRPr="004F02CD" w:rsidRDefault="007B2483" w:rsidP="007B248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En 1999, Grupo México compró ASARCO, una importante productora de cobre y otros metales en Estados Unidos. Desde 2000 hasta la fecha, la empresa ha sido acusada de más de 120 infracciones federales en materia de medio ambiente, salud y seguridad en sus instalaciones de Arizona y Texas. Las infracciones no son menores: incluyen descargas de contaminantes en el agua y falta de información y monitoreo ambiental.</w:t>
      </w:r>
    </w:p>
    <w:p w14:paraId="28B66049" w14:textId="77777777" w:rsidR="007B2483" w:rsidRPr="004F02CD" w:rsidRDefault="007B2483" w:rsidP="007B2483">
      <w:pPr>
        <w:spacing w:line="360" w:lineRule="auto"/>
        <w:jc w:val="both"/>
        <w:rPr>
          <w:rFonts w:ascii="Arial" w:hAnsi="Arial" w:cs="Arial"/>
          <w:bCs/>
          <w:lang w:val="es-MX"/>
        </w:rPr>
      </w:pPr>
    </w:p>
    <w:p w14:paraId="77989081" w14:textId="77777777" w:rsidR="007B2483" w:rsidRPr="004F02CD" w:rsidRDefault="007B2483" w:rsidP="007B248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lastRenderedPageBreak/>
        <w:t>En 2006, 65 trabajadores quedaron atrapados en Pasta de Conchos por una explosión debida a la acumulación de gas metano. La mina, operada por Grupo México, tenía reportes de fallas de seguridad desde el año 2000. La empresa suspendió el rescate un año después y los cuerpos continúan sepultados.</w:t>
      </w:r>
    </w:p>
    <w:p w14:paraId="32ECA9B6" w14:textId="77777777" w:rsidR="007B2483" w:rsidRPr="004F02CD" w:rsidRDefault="007B2483" w:rsidP="007B2483">
      <w:pPr>
        <w:spacing w:line="360" w:lineRule="auto"/>
        <w:jc w:val="both"/>
        <w:rPr>
          <w:rFonts w:ascii="Arial" w:hAnsi="Arial" w:cs="Arial"/>
          <w:bCs/>
          <w:lang w:val="es-MX"/>
        </w:rPr>
      </w:pPr>
    </w:p>
    <w:p w14:paraId="3C3786E8" w14:textId="77777777" w:rsidR="007B2483" w:rsidRPr="004F02CD" w:rsidRDefault="007B2483" w:rsidP="007B24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También en 2007, los trabajadores de tres minas de Grupo México (Sombrerete, Cananea y Taxco) entraron en huelga por reiterados incidentes en materia de salud y seguridad laboral.</w:t>
      </w:r>
    </w:p>
    <w:p w14:paraId="393F3950" w14:textId="77777777" w:rsidR="007B2483" w:rsidRPr="004F02CD" w:rsidRDefault="007B2483" w:rsidP="007B2483">
      <w:pPr>
        <w:spacing w:line="390" w:lineRule="atLeast"/>
        <w:jc w:val="both"/>
        <w:textAlignment w:val="baseline"/>
        <w:rPr>
          <w:rFonts w:ascii="Arial" w:eastAsia="Times New Roman" w:hAnsi="Arial" w:cs="Arial"/>
          <w:color w:val="1A2631"/>
          <w:lang w:val="es-MX" w:eastAsia="es-MX"/>
        </w:rPr>
      </w:pPr>
    </w:p>
    <w:p w14:paraId="49869365" w14:textId="77777777" w:rsidR="007B2483" w:rsidRPr="004F02CD" w:rsidRDefault="007B2483" w:rsidP="007B24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En 2010, una ruptura en la presa de jales de la mina de plata de Bolaños, propiedad de Grupo México desde 1993, provocó que se vertieran desechos tóxicos (mercurio, plomo y arsénico) al Río Bolaños en Jalisco. Esto generó alta mortandad en peces y afectaciones a la vida de las poblaciones ribereñas.</w:t>
      </w:r>
    </w:p>
    <w:p w14:paraId="4AD161A8" w14:textId="77777777" w:rsidR="007B2483" w:rsidRPr="004F02CD" w:rsidRDefault="007B2483" w:rsidP="007B2483">
      <w:pPr>
        <w:spacing w:line="360" w:lineRule="auto"/>
        <w:jc w:val="both"/>
        <w:rPr>
          <w:rFonts w:ascii="Arial" w:hAnsi="Arial" w:cs="Arial"/>
          <w:bCs/>
          <w:lang w:val="es-MX"/>
        </w:rPr>
      </w:pPr>
    </w:p>
    <w:p w14:paraId="5D9C4D4F" w14:textId="77777777" w:rsidR="007B2483" w:rsidRPr="004F02CD" w:rsidRDefault="007B2483" w:rsidP="007B248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eastAsia="es-MX"/>
        </w:rPr>
      </w:pPr>
      <w:r w:rsidRPr="004F02CD">
        <w:rPr>
          <w:rFonts w:ascii="Arial" w:eastAsia="Times New Roman" w:hAnsi="Arial" w:cs="Arial"/>
          <w:color w:val="1A2631"/>
          <w:lang w:val="es-MX" w:eastAsia="es-MX"/>
        </w:rPr>
        <w:t xml:space="preserve">En 2014, la empresa Buenavista del Cobre, de Grupo México, derramó 40 mil metros cúbicos de sulfato de cobre en los ríos Sonora y </w:t>
      </w:r>
      <w:proofErr w:type="spellStart"/>
      <w:r w:rsidRPr="004F02CD">
        <w:rPr>
          <w:rFonts w:ascii="Arial" w:eastAsia="Times New Roman" w:hAnsi="Arial" w:cs="Arial"/>
          <w:color w:val="1A2631"/>
          <w:lang w:val="es-MX" w:eastAsia="es-MX"/>
        </w:rPr>
        <w:t>Bacanuchi</w:t>
      </w:r>
      <w:proofErr w:type="spellEnd"/>
      <w:r w:rsidRPr="004F02CD">
        <w:rPr>
          <w:rFonts w:ascii="Arial" w:eastAsia="Times New Roman" w:hAnsi="Arial" w:cs="Arial"/>
          <w:color w:val="1A2631"/>
          <w:lang w:val="es-MX" w:eastAsia="es-MX"/>
        </w:rPr>
        <w:t xml:space="preserve">, afectando a más de 22 mil personas. </w:t>
      </w:r>
      <w:r w:rsidRPr="004F02CD">
        <w:rPr>
          <w:rFonts w:ascii="Arial" w:eastAsia="Times New Roman" w:hAnsi="Arial" w:cs="Arial"/>
          <w:color w:val="1A2631"/>
          <w:lang w:eastAsia="es-MX"/>
        </w:rPr>
        <w:t xml:space="preserve">Los </w:t>
      </w:r>
      <w:proofErr w:type="spellStart"/>
      <w:r w:rsidRPr="004F02CD">
        <w:rPr>
          <w:rFonts w:ascii="Arial" w:eastAsia="Times New Roman" w:hAnsi="Arial" w:cs="Arial"/>
          <w:color w:val="1A2631"/>
          <w:lang w:eastAsia="es-MX"/>
        </w:rPr>
        <w:t>efectos</w:t>
      </w:r>
      <w:proofErr w:type="spellEnd"/>
      <w:r w:rsidRPr="004F02CD">
        <w:rPr>
          <w:rFonts w:ascii="Arial" w:eastAsia="Times New Roman" w:hAnsi="Arial" w:cs="Arial"/>
          <w:color w:val="1A2631"/>
          <w:lang w:eastAsia="es-MX"/>
        </w:rPr>
        <w:t xml:space="preserve"> de </w:t>
      </w:r>
      <w:proofErr w:type="spellStart"/>
      <w:r w:rsidRPr="004F02CD">
        <w:rPr>
          <w:rFonts w:ascii="Arial" w:eastAsia="Times New Roman" w:hAnsi="Arial" w:cs="Arial"/>
          <w:color w:val="1A2631"/>
          <w:lang w:eastAsia="es-MX"/>
        </w:rPr>
        <w:t>este</w:t>
      </w:r>
      <w:proofErr w:type="spellEnd"/>
      <w:r w:rsidRPr="004F02CD">
        <w:rPr>
          <w:rFonts w:ascii="Arial" w:eastAsia="Times New Roman" w:hAnsi="Arial" w:cs="Arial"/>
          <w:color w:val="1A2631"/>
          <w:lang w:eastAsia="es-MX"/>
        </w:rPr>
        <w:t xml:space="preserve"> </w:t>
      </w:r>
      <w:proofErr w:type="spellStart"/>
      <w:r w:rsidRPr="004F02CD">
        <w:rPr>
          <w:rFonts w:ascii="Arial" w:eastAsia="Times New Roman" w:hAnsi="Arial" w:cs="Arial"/>
          <w:color w:val="1A2631"/>
          <w:lang w:eastAsia="es-MX"/>
        </w:rPr>
        <w:t>derrame</w:t>
      </w:r>
      <w:proofErr w:type="spellEnd"/>
      <w:r w:rsidRPr="004F02CD">
        <w:rPr>
          <w:rFonts w:ascii="Arial" w:eastAsia="Times New Roman" w:hAnsi="Arial" w:cs="Arial"/>
          <w:color w:val="1A2631"/>
          <w:lang w:eastAsia="es-MX"/>
        </w:rPr>
        <w:t xml:space="preserve"> </w:t>
      </w:r>
      <w:proofErr w:type="spellStart"/>
      <w:r w:rsidRPr="004F02CD">
        <w:rPr>
          <w:rFonts w:ascii="Arial" w:eastAsia="Times New Roman" w:hAnsi="Arial" w:cs="Arial"/>
          <w:color w:val="1A2631"/>
          <w:lang w:eastAsia="es-MX"/>
        </w:rPr>
        <w:t>aún</w:t>
      </w:r>
      <w:proofErr w:type="spellEnd"/>
      <w:r w:rsidRPr="004F02CD">
        <w:rPr>
          <w:rFonts w:ascii="Arial" w:eastAsia="Times New Roman" w:hAnsi="Arial" w:cs="Arial"/>
          <w:color w:val="1A2631"/>
          <w:lang w:eastAsia="es-MX"/>
        </w:rPr>
        <w:t xml:space="preserve"> son </w:t>
      </w:r>
      <w:proofErr w:type="spellStart"/>
      <w:r w:rsidRPr="004F02CD">
        <w:rPr>
          <w:rFonts w:ascii="Arial" w:eastAsia="Times New Roman" w:hAnsi="Arial" w:cs="Arial"/>
          <w:color w:val="1A2631"/>
          <w:lang w:eastAsia="es-MX"/>
        </w:rPr>
        <w:t>incalculables</w:t>
      </w:r>
      <w:proofErr w:type="spellEnd"/>
      <w:r w:rsidRPr="004F02CD">
        <w:rPr>
          <w:rFonts w:ascii="Arial" w:eastAsia="Times New Roman" w:hAnsi="Arial" w:cs="Arial"/>
          <w:color w:val="1A2631"/>
          <w:lang w:eastAsia="es-MX"/>
        </w:rPr>
        <w:t>.</w:t>
      </w:r>
    </w:p>
    <w:p w14:paraId="504EC363" w14:textId="77777777" w:rsidR="007B2483" w:rsidRPr="004F02CD" w:rsidRDefault="007B2483" w:rsidP="007B2483">
      <w:pPr>
        <w:spacing w:line="360" w:lineRule="auto"/>
        <w:jc w:val="both"/>
        <w:rPr>
          <w:rFonts w:ascii="Arial" w:hAnsi="Arial" w:cs="Arial"/>
          <w:bCs/>
        </w:rPr>
      </w:pPr>
    </w:p>
    <w:p w14:paraId="78AA982F" w14:textId="77777777" w:rsidR="007B2483" w:rsidRPr="004F02CD" w:rsidRDefault="007B2483" w:rsidP="007B248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También en 2014, un tren cargado con 240 toneladas de ácido sulfúrico provenientes de Buenavista del Cobre, de Grupo México, se descarriló y volcó a escasos metros del río Santa Cruz, en Nogales, Sonora.</w:t>
      </w:r>
    </w:p>
    <w:p w14:paraId="439D4081" w14:textId="77777777" w:rsidR="007B2483" w:rsidRPr="004F02CD" w:rsidRDefault="007B2483" w:rsidP="007B2483">
      <w:pPr>
        <w:spacing w:line="360" w:lineRule="auto"/>
        <w:jc w:val="both"/>
        <w:rPr>
          <w:rFonts w:ascii="Arial" w:hAnsi="Arial" w:cs="Arial"/>
          <w:bCs/>
          <w:lang w:val="es-MX"/>
        </w:rPr>
      </w:pPr>
    </w:p>
    <w:p w14:paraId="02C07167" w14:textId="77777777" w:rsidR="007B2483" w:rsidRPr="004F02CD" w:rsidRDefault="007B2483" w:rsidP="007B2483">
      <w:pPr>
        <w:spacing w:line="360" w:lineRule="auto"/>
        <w:jc w:val="both"/>
        <w:rPr>
          <w:rFonts w:ascii="Arial" w:hAnsi="Arial" w:cs="Arial"/>
          <w:bCs/>
          <w:lang w:val="es-MX"/>
        </w:rPr>
      </w:pPr>
    </w:p>
    <w:p w14:paraId="2BCB3C69" w14:textId="77777777" w:rsidR="007B2483" w:rsidRPr="004F02CD" w:rsidRDefault="007B2483" w:rsidP="007B248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 xml:space="preserve">El 12 de febrero de 2016, cinco trabajadores pierden la vida en un accidente en la </w:t>
      </w:r>
    </w:p>
    <w:p w14:paraId="2ED94045" w14:textId="77777777" w:rsidR="007B2483" w:rsidRPr="004F02CD" w:rsidRDefault="007B2483" w:rsidP="007B2483">
      <w:pPr>
        <w:spacing w:line="390" w:lineRule="atLeast"/>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mina de carbón Charcas en San Luis Potosí, a causa del rompimiento de un cable que transportaba 8 toneladas de material.</w:t>
      </w:r>
    </w:p>
    <w:p w14:paraId="5F83636B" w14:textId="77777777" w:rsidR="007B2483" w:rsidRPr="004F02CD" w:rsidRDefault="007B2483" w:rsidP="007B2483">
      <w:pPr>
        <w:spacing w:line="390" w:lineRule="atLeast"/>
        <w:jc w:val="both"/>
        <w:textAlignment w:val="baseline"/>
        <w:rPr>
          <w:rFonts w:ascii="Arial" w:eastAsia="Times New Roman" w:hAnsi="Arial" w:cs="Arial"/>
          <w:color w:val="1A2631"/>
          <w:lang w:val="es-MX" w:eastAsia="es-MX"/>
        </w:rPr>
      </w:pPr>
    </w:p>
    <w:p w14:paraId="4E89DD3B" w14:textId="77777777" w:rsidR="007B2483" w:rsidRPr="004F02CD" w:rsidRDefault="007B2483" w:rsidP="007B248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También en 2016, dentro de la mina La Caridad, de Grupo México, volcó un carro-tanque que derramó 10 mil litros de ácido débil en el municipio de Nacozari de García, Sonora.</w:t>
      </w:r>
    </w:p>
    <w:p w14:paraId="19F906B7" w14:textId="77777777" w:rsidR="007B2483" w:rsidRPr="004F02CD" w:rsidRDefault="007B2483" w:rsidP="007B2483">
      <w:pPr>
        <w:pStyle w:val="Prrafodelista"/>
        <w:jc w:val="both"/>
        <w:rPr>
          <w:rFonts w:ascii="Arial" w:eastAsia="Times New Roman" w:hAnsi="Arial" w:cs="Arial"/>
          <w:color w:val="1A2631"/>
          <w:lang w:eastAsia="es-MX"/>
        </w:rPr>
      </w:pPr>
    </w:p>
    <w:p w14:paraId="01834BA3" w14:textId="77777777" w:rsidR="007B2483" w:rsidRPr="004F02CD" w:rsidRDefault="007B2483" w:rsidP="007B2483">
      <w:pPr>
        <w:spacing w:line="390" w:lineRule="atLeast"/>
        <w:jc w:val="both"/>
        <w:textAlignment w:val="baseline"/>
        <w:rPr>
          <w:rFonts w:ascii="Arial" w:eastAsia="Times New Roman" w:hAnsi="Arial" w:cs="Arial"/>
          <w:color w:val="1A2631"/>
          <w:lang w:val="es-MX" w:eastAsia="es-MX"/>
        </w:rPr>
      </w:pPr>
    </w:p>
    <w:p w14:paraId="24F965B0" w14:textId="77777777" w:rsidR="007B2483" w:rsidRPr="004F02CD" w:rsidRDefault="007B2483" w:rsidP="007B248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lastRenderedPageBreak/>
        <w:t xml:space="preserve">2018: la SCJN sentencia ante un amparo de la comunidad de </w:t>
      </w:r>
      <w:proofErr w:type="spellStart"/>
      <w:r w:rsidRPr="004F02CD">
        <w:rPr>
          <w:rFonts w:ascii="Arial" w:eastAsia="Times New Roman" w:hAnsi="Arial" w:cs="Arial"/>
          <w:color w:val="1A2631"/>
          <w:lang w:val="es-MX" w:eastAsia="es-MX"/>
        </w:rPr>
        <w:t>Bacanuchi</w:t>
      </w:r>
      <w:proofErr w:type="spellEnd"/>
      <w:r w:rsidRPr="004F02CD">
        <w:rPr>
          <w:rFonts w:ascii="Arial" w:eastAsia="Times New Roman" w:hAnsi="Arial" w:cs="Arial"/>
          <w:color w:val="1A2631"/>
          <w:lang w:val="es-MX" w:eastAsia="es-MX"/>
        </w:rPr>
        <w:t>, en Sonora, que Grupo México violó el derecho a la participación de la comunidad, al no haberle informado sobre la construcción de una presa de jales de más de 6,500 ha.</w:t>
      </w:r>
    </w:p>
    <w:p w14:paraId="0EBED0A2" w14:textId="77777777" w:rsidR="007B2483" w:rsidRPr="004F02CD" w:rsidRDefault="007B2483" w:rsidP="007B2483">
      <w:pPr>
        <w:spacing w:line="360" w:lineRule="auto"/>
        <w:jc w:val="both"/>
        <w:rPr>
          <w:rFonts w:ascii="Arial" w:hAnsi="Arial" w:cs="Arial"/>
          <w:bCs/>
          <w:lang w:val="es-MX"/>
        </w:rPr>
      </w:pPr>
    </w:p>
    <w:p w14:paraId="49567E9A" w14:textId="77777777" w:rsidR="007B2483" w:rsidRPr="004F02CD" w:rsidRDefault="007B2483" w:rsidP="007B248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 xml:space="preserve">En mayo de 2019, la Unidad Minera San Martín, en Zacatecas, perteneciente </w:t>
      </w:r>
      <w:proofErr w:type="spellStart"/>
      <w:r w:rsidRPr="004F02CD">
        <w:rPr>
          <w:rFonts w:ascii="Arial" w:eastAsia="Times New Roman" w:hAnsi="Arial" w:cs="Arial"/>
          <w:color w:val="1A2631"/>
          <w:lang w:val="es-MX" w:eastAsia="es-MX"/>
        </w:rPr>
        <w:t>a</w:t>
      </w:r>
      <w:proofErr w:type="spellEnd"/>
      <w:r w:rsidRPr="004F02CD">
        <w:rPr>
          <w:rFonts w:ascii="Arial" w:eastAsia="Times New Roman" w:hAnsi="Arial" w:cs="Arial"/>
          <w:color w:val="1A2631"/>
          <w:lang w:val="es-MX" w:eastAsia="es-MX"/>
        </w:rPr>
        <w:t xml:space="preserve"> Grupo México, derramó 20 mil litros de sedimentos conteniendo cianuro, sulfato de cobre y sulfato de zinc en un río de la comunidad de Sombrerete, que abastece a campos agrícolas de la zona.</w:t>
      </w:r>
    </w:p>
    <w:p w14:paraId="1643AE6E" w14:textId="77777777" w:rsidR="007B2483" w:rsidRPr="004F02CD" w:rsidRDefault="007B2483" w:rsidP="007B2483">
      <w:pPr>
        <w:spacing w:line="360" w:lineRule="auto"/>
        <w:jc w:val="both"/>
        <w:rPr>
          <w:rFonts w:ascii="Arial" w:hAnsi="Arial" w:cs="Arial"/>
          <w:bCs/>
          <w:lang w:val="es-MX"/>
        </w:rPr>
      </w:pPr>
    </w:p>
    <w:p w14:paraId="3D8770E7" w14:textId="77777777" w:rsidR="007B2483" w:rsidRPr="004F02CD" w:rsidRDefault="007B2483" w:rsidP="007B248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jc w:val="both"/>
        <w:textAlignment w:val="baseline"/>
        <w:rPr>
          <w:rFonts w:ascii="Arial" w:eastAsia="Times New Roman" w:hAnsi="Arial" w:cs="Arial"/>
          <w:color w:val="1A2631"/>
          <w:lang w:val="es-MX" w:eastAsia="es-MX"/>
        </w:rPr>
      </w:pPr>
      <w:r w:rsidRPr="004F02CD">
        <w:rPr>
          <w:rFonts w:ascii="Arial" w:eastAsia="Times New Roman" w:hAnsi="Arial" w:cs="Arial"/>
          <w:color w:val="1A2631"/>
          <w:lang w:val="es-MX" w:eastAsia="es-MX"/>
        </w:rPr>
        <w:t>En julio de 2019, Grupo México derrama 3 mil litros de ácido sulfúrico en Guaymas, Sonora, que llegan directo al Mar de Cortés, uno de los mares de mayor biodiversidad del mundo y cuna de la vaquita marina, en peligro de extinción.</w:t>
      </w:r>
    </w:p>
    <w:p w14:paraId="10031793" w14:textId="77777777" w:rsidR="007B2483" w:rsidRPr="004F02CD" w:rsidRDefault="007B2483" w:rsidP="007B2483">
      <w:pPr>
        <w:spacing w:line="360" w:lineRule="auto"/>
        <w:jc w:val="both"/>
        <w:rPr>
          <w:rFonts w:ascii="Arial" w:hAnsi="Arial" w:cs="Arial"/>
          <w:bCs/>
          <w:lang w:val="es-MX"/>
        </w:rPr>
      </w:pPr>
    </w:p>
    <w:p w14:paraId="61AC2B15" w14:textId="77777777" w:rsidR="007B2483" w:rsidRPr="004F02CD" w:rsidRDefault="007B2483" w:rsidP="007B2483">
      <w:pPr>
        <w:pStyle w:val="NormalWeb"/>
        <w:shd w:val="clear" w:color="auto" w:fill="FFFFFF"/>
        <w:spacing w:before="0" w:beforeAutospacing="0" w:after="0" w:afterAutospacing="0"/>
        <w:jc w:val="both"/>
        <w:textAlignment w:val="baseline"/>
        <w:rPr>
          <w:rFonts w:ascii="Arial" w:hAnsi="Arial" w:cs="Arial"/>
          <w:color w:val="1A2631"/>
          <w:bdr w:val="none" w:sz="0" w:space="0" w:color="auto" w:frame="1"/>
        </w:rPr>
      </w:pPr>
      <w:r w:rsidRPr="004F02CD">
        <w:rPr>
          <w:rFonts w:ascii="Arial" w:hAnsi="Arial" w:cs="Arial"/>
          <w:color w:val="1A2631"/>
          <w:bdr w:val="none" w:sz="0" w:space="0" w:color="auto" w:frame="1"/>
        </w:rPr>
        <w:t>“Queremos que ya no se sumen más desastres e historias de violaciones a los derechos humanos a este hilo. Queremos que esta forma de enriquecerse, el estilo Germán Larrea, pare para siempre. Queremos que las comunidades tengan justicia, reparación, no repetición.</w:t>
      </w:r>
    </w:p>
    <w:p w14:paraId="24FDA5D0" w14:textId="77777777" w:rsidR="007B2483" w:rsidRPr="004F02CD" w:rsidRDefault="007B2483" w:rsidP="007B2483">
      <w:pPr>
        <w:pStyle w:val="NormalWeb"/>
        <w:shd w:val="clear" w:color="auto" w:fill="FFFFFF"/>
        <w:spacing w:before="0" w:beforeAutospacing="0" w:after="0" w:afterAutospacing="0"/>
        <w:jc w:val="both"/>
        <w:textAlignment w:val="baseline"/>
        <w:rPr>
          <w:rFonts w:ascii="Arial" w:hAnsi="Arial" w:cs="Arial"/>
          <w:color w:val="1A2631"/>
        </w:rPr>
      </w:pPr>
    </w:p>
    <w:p w14:paraId="31CEE698" w14:textId="77777777" w:rsidR="007B2483" w:rsidRPr="004F02CD" w:rsidRDefault="007B2483" w:rsidP="007B2483">
      <w:pPr>
        <w:pStyle w:val="NormalWeb"/>
        <w:shd w:val="clear" w:color="auto" w:fill="FFFFFF"/>
        <w:spacing w:before="0" w:beforeAutospacing="0" w:after="0" w:afterAutospacing="0"/>
        <w:jc w:val="both"/>
        <w:textAlignment w:val="baseline"/>
        <w:rPr>
          <w:rFonts w:ascii="Arial" w:hAnsi="Arial" w:cs="Arial"/>
          <w:color w:val="1A2631"/>
          <w:bdr w:val="none" w:sz="0" w:space="0" w:color="auto" w:frame="1"/>
        </w:rPr>
      </w:pPr>
      <w:r w:rsidRPr="004F02CD">
        <w:rPr>
          <w:rFonts w:ascii="Arial" w:hAnsi="Arial" w:cs="Arial"/>
          <w:color w:val="1A2631"/>
          <w:bdr w:val="none" w:sz="0" w:space="0" w:color="auto" w:frame="1"/>
        </w:rPr>
        <w:t xml:space="preserve">Por último, estos 20 años de vergüenza de Grupo México, Germán Larrea y de acumulación de ofensas también han sido de resistencia, organización y lucha de las comunidades afectadas. Nuestra admiración y reconocimiento por seguir alzando la voz.” </w:t>
      </w:r>
      <w:hyperlink r:id="rId8" w:history="1">
        <w:r w:rsidRPr="004F02CD">
          <w:rPr>
            <w:rStyle w:val="Hipervnculo"/>
            <w:rFonts w:ascii="Arial" w:hAnsi="Arial" w:cs="Arial"/>
            <w:bdr w:val="none" w:sz="0" w:space="0" w:color="auto" w:frame="1"/>
          </w:rPr>
          <w:t>https://poderlatam.org/2019/07/el-listado-de-desastres-de-grupo-mexico-y-german-larrea/</w:t>
        </w:r>
      </w:hyperlink>
    </w:p>
    <w:p w14:paraId="69711A60" w14:textId="77777777" w:rsidR="007B2483" w:rsidRPr="004F02CD" w:rsidRDefault="007B2483" w:rsidP="007B2483">
      <w:pPr>
        <w:pStyle w:val="NormalWeb"/>
        <w:shd w:val="clear" w:color="auto" w:fill="FFFFFF"/>
        <w:spacing w:before="0" w:beforeAutospacing="0" w:after="0" w:afterAutospacing="0"/>
        <w:jc w:val="both"/>
        <w:textAlignment w:val="baseline"/>
        <w:rPr>
          <w:rFonts w:ascii="Arial" w:hAnsi="Arial" w:cs="Arial"/>
          <w:color w:val="1A2631"/>
          <w:bdr w:val="none" w:sz="0" w:space="0" w:color="auto" w:frame="1"/>
        </w:rPr>
      </w:pPr>
    </w:p>
    <w:p w14:paraId="330DC7D1" w14:textId="77777777" w:rsidR="007B2483" w:rsidRPr="004F02CD" w:rsidRDefault="007B2483" w:rsidP="007B2483">
      <w:pPr>
        <w:pStyle w:val="NormalWeb"/>
        <w:shd w:val="clear" w:color="auto" w:fill="FFFFFF"/>
        <w:spacing w:before="0" w:beforeAutospacing="0" w:after="0" w:afterAutospacing="0"/>
        <w:jc w:val="both"/>
        <w:textAlignment w:val="baseline"/>
        <w:rPr>
          <w:rFonts w:ascii="Arial" w:hAnsi="Arial" w:cs="Arial"/>
          <w:color w:val="1A2631"/>
        </w:rPr>
      </w:pPr>
    </w:p>
    <w:p w14:paraId="32B768D4" w14:textId="77777777" w:rsidR="007B2483" w:rsidRPr="004F02CD" w:rsidRDefault="007B2483" w:rsidP="007B2483">
      <w:pPr>
        <w:spacing w:line="360" w:lineRule="auto"/>
        <w:jc w:val="both"/>
        <w:rPr>
          <w:rFonts w:ascii="Arial" w:hAnsi="Arial" w:cs="Arial"/>
          <w:bCs/>
          <w:lang w:val="es-MX"/>
        </w:rPr>
      </w:pPr>
    </w:p>
    <w:p w14:paraId="413D66EE"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Ives Figueroa Investigador ambientalista declaró a medios de comunicación sobre éste nuevo desastre de Ferromex en el municipio de Villa Ahumada: “la cantidad de ácido sulfúrico es alarmante y de no ser manejado el derrame de manera adecuada podrá tener afectaciones a la flora, fauna y cuerpos de agua aledaños a la zona del desastre.</w:t>
      </w:r>
    </w:p>
    <w:p w14:paraId="6BA29119" w14:textId="77777777" w:rsidR="007B2483" w:rsidRPr="004F02CD" w:rsidRDefault="007B2483" w:rsidP="007B2483">
      <w:pPr>
        <w:spacing w:line="360" w:lineRule="auto"/>
        <w:jc w:val="both"/>
        <w:rPr>
          <w:rFonts w:ascii="Arial" w:hAnsi="Arial" w:cs="Arial"/>
          <w:bCs/>
          <w:lang w:val="es-MX"/>
        </w:rPr>
      </w:pPr>
    </w:p>
    <w:p w14:paraId="56A567B6" w14:textId="77777777" w:rsidR="007B2483" w:rsidRPr="004F02CD" w:rsidRDefault="007B2483" w:rsidP="007B2483">
      <w:pPr>
        <w:spacing w:line="360" w:lineRule="auto"/>
        <w:jc w:val="both"/>
        <w:rPr>
          <w:rFonts w:ascii="Arial" w:hAnsi="Arial" w:cs="Arial"/>
          <w:bCs/>
          <w:lang w:val="es-MX"/>
        </w:rPr>
      </w:pPr>
      <w:r w:rsidRPr="004F02CD">
        <w:rPr>
          <w:rFonts w:ascii="Arial" w:hAnsi="Arial" w:cs="Arial"/>
          <w:bCs/>
          <w:lang w:val="es-MX"/>
        </w:rPr>
        <w:t>Explicó que si en estos días previos al manejo del derrame se presenta lluvias en la zona el agua podría arrastrar los contaminantes hacia cuerpos de agua cercanos dañando los mantos acuíferos.</w:t>
      </w:r>
    </w:p>
    <w:p w14:paraId="2288A63B" w14:textId="77777777" w:rsidR="007B2483" w:rsidRPr="004F02CD" w:rsidRDefault="007B2483" w:rsidP="007B2483">
      <w:pPr>
        <w:spacing w:line="360" w:lineRule="auto"/>
        <w:jc w:val="both"/>
        <w:rPr>
          <w:rFonts w:ascii="Arial" w:hAnsi="Arial" w:cs="Arial"/>
          <w:bCs/>
          <w:lang w:val="es-MX"/>
        </w:rPr>
      </w:pPr>
    </w:p>
    <w:p w14:paraId="6F5DFB99" w14:textId="77777777" w:rsidR="00C54EBC" w:rsidRPr="004F02CD" w:rsidRDefault="00C54EBC" w:rsidP="007B2483">
      <w:pPr>
        <w:spacing w:line="360" w:lineRule="auto"/>
        <w:jc w:val="both"/>
        <w:rPr>
          <w:rFonts w:ascii="Arial" w:hAnsi="Arial" w:cs="Arial"/>
          <w:bCs/>
          <w:lang w:val="es-MX"/>
        </w:rPr>
      </w:pPr>
    </w:p>
    <w:p w14:paraId="038A1871" w14:textId="77777777" w:rsidR="006405B6" w:rsidRPr="004F02CD" w:rsidRDefault="006405B6" w:rsidP="006405B6">
      <w:pPr>
        <w:spacing w:line="360" w:lineRule="auto"/>
        <w:rPr>
          <w:rFonts w:ascii="Arial" w:hAnsi="Arial" w:cs="Arial"/>
          <w:color w:val="222222"/>
          <w:shd w:val="clear" w:color="auto" w:fill="FFFFFF"/>
          <w:lang w:val="es-MX"/>
        </w:rPr>
      </w:pPr>
      <w:r w:rsidRPr="004F02CD">
        <w:rPr>
          <w:rFonts w:ascii="Arial" w:hAnsi="Arial" w:cs="Arial"/>
          <w:color w:val="222222"/>
          <w:shd w:val="clear" w:color="auto" w:fill="FFFFFF"/>
          <w:lang w:val="es-MX"/>
        </w:rPr>
        <w:t>“LEY GENERAL DE PREVENSION Y GESTION INTEGRAL DE LOS RESIDUOS”</w:t>
      </w:r>
    </w:p>
    <w:p w14:paraId="63D86444" w14:textId="77777777" w:rsidR="006405B6" w:rsidRPr="004F02CD" w:rsidRDefault="006405B6" w:rsidP="006405B6">
      <w:pPr>
        <w:spacing w:line="360" w:lineRule="auto"/>
        <w:rPr>
          <w:rFonts w:ascii="Arial" w:hAnsi="Arial" w:cs="Arial"/>
          <w:color w:val="222222"/>
          <w:shd w:val="clear" w:color="auto" w:fill="FFFFFF"/>
          <w:lang w:val="es-MX"/>
        </w:rPr>
      </w:pPr>
    </w:p>
    <w:p w14:paraId="4AB1670A" w14:textId="77777777" w:rsidR="003A2764" w:rsidRDefault="006405B6" w:rsidP="006405B6">
      <w:pPr>
        <w:spacing w:line="360" w:lineRule="auto"/>
        <w:rPr>
          <w:rFonts w:ascii="Arial" w:hAnsi="Arial" w:cs="Arial"/>
          <w:color w:val="222222"/>
          <w:shd w:val="clear" w:color="auto" w:fill="FFFFFF"/>
          <w:lang w:val="es-MX"/>
        </w:rPr>
      </w:pPr>
      <w:r w:rsidRPr="004F02CD">
        <w:rPr>
          <w:rFonts w:ascii="Arial" w:hAnsi="Arial" w:cs="Arial"/>
          <w:color w:val="222222"/>
          <w:shd w:val="clear" w:color="auto" w:fill="FFFFFF"/>
          <w:lang w:val="es-MX"/>
        </w:rPr>
        <w:t>CAPÍTULO SEGUNDO</w:t>
      </w:r>
    </w:p>
    <w:p w14:paraId="7F8B6DE6" w14:textId="681D64D0" w:rsidR="00C54EBC" w:rsidRPr="004F02CD" w:rsidRDefault="006405B6" w:rsidP="003A2764">
      <w:pPr>
        <w:spacing w:line="360" w:lineRule="auto"/>
        <w:jc w:val="both"/>
        <w:rPr>
          <w:rFonts w:ascii="Arial" w:hAnsi="Arial" w:cs="Arial"/>
          <w:bCs/>
          <w:lang w:val="es-MX"/>
        </w:rPr>
      </w:pPr>
      <w:r w:rsidRPr="004F02CD">
        <w:rPr>
          <w:rFonts w:ascii="Arial" w:hAnsi="Arial" w:cs="Arial"/>
          <w:color w:val="222222"/>
          <w:lang w:val="es-MX"/>
        </w:rPr>
        <w:br/>
      </w:r>
      <w:r w:rsidRPr="004F02CD">
        <w:rPr>
          <w:rFonts w:ascii="Arial" w:hAnsi="Arial" w:cs="Arial"/>
          <w:color w:val="222222"/>
          <w:shd w:val="clear" w:color="auto" w:fill="FFFFFF"/>
          <w:lang w:val="es-MX"/>
        </w:rPr>
        <w:t>Obligaciones derivadas de los daños ocasionados al ambiente</w:t>
      </w:r>
      <w:r w:rsidRPr="004F02CD">
        <w:rPr>
          <w:rFonts w:ascii="Arial" w:hAnsi="Arial" w:cs="Arial"/>
          <w:color w:val="222222"/>
          <w:lang w:val="es-MX"/>
        </w:rPr>
        <w:br/>
      </w:r>
      <w:r w:rsidRPr="004F02CD">
        <w:rPr>
          <w:rFonts w:ascii="Arial" w:hAnsi="Arial" w:cs="Arial"/>
          <w:color w:val="222222"/>
          <w:shd w:val="clear" w:color="auto" w:fill="FFFFFF"/>
          <w:lang w:val="es-MX"/>
        </w:rPr>
        <w:t>Artículo 10.- Toda persona física o moral que con su acción u omisión ocasione directa o indirectamente un daño al ambiente, será responsable y estará obligada a la reparación de los daños, o bien, cuando la reparación no sea posible a la compensación ambiental que proceda, en los términos de la presente Ley.</w:t>
      </w:r>
      <w:r w:rsidRPr="004F02CD">
        <w:rPr>
          <w:rFonts w:ascii="Arial" w:hAnsi="Arial" w:cs="Arial"/>
          <w:color w:val="222222"/>
          <w:lang w:val="es-MX"/>
        </w:rPr>
        <w:br/>
      </w:r>
      <w:r w:rsidRPr="004F02CD">
        <w:rPr>
          <w:rFonts w:ascii="Arial" w:hAnsi="Arial" w:cs="Arial"/>
          <w:color w:val="222222"/>
          <w:shd w:val="clear" w:color="auto" w:fill="FFFFFF"/>
          <w:lang w:val="es-MX"/>
        </w:rPr>
        <w:t>De la misma forma estará obligada a realizar las acciones necesarias para evitar que se incremente el daño ocasionado al ambiente.</w:t>
      </w:r>
      <w:r w:rsidRPr="004F02CD">
        <w:rPr>
          <w:rFonts w:ascii="Arial" w:hAnsi="Arial" w:cs="Arial"/>
          <w:color w:val="222222"/>
          <w:lang w:val="es-MX"/>
        </w:rPr>
        <w:br/>
      </w:r>
      <w:r w:rsidRPr="004F02CD">
        <w:rPr>
          <w:rFonts w:ascii="Arial" w:hAnsi="Arial" w:cs="Arial"/>
          <w:color w:val="222222"/>
          <w:lang w:val="es-MX"/>
        </w:rPr>
        <w:br/>
      </w:r>
      <w:r w:rsidRPr="004F02CD">
        <w:rPr>
          <w:rFonts w:ascii="Arial" w:hAnsi="Arial" w:cs="Arial"/>
          <w:color w:val="222222"/>
          <w:shd w:val="clear" w:color="auto" w:fill="FFFFFF"/>
          <w:lang w:val="es-MX"/>
        </w:rPr>
        <w:t>Artículo 12.- Será objetiva la responsabilidad ambiental, cuando los daños ocasionados al ambiente devengan directa o indirectamente de:</w:t>
      </w:r>
      <w:r w:rsidRPr="004F02CD">
        <w:rPr>
          <w:rFonts w:ascii="Arial" w:hAnsi="Arial" w:cs="Arial"/>
          <w:color w:val="222222"/>
          <w:lang w:val="es-MX"/>
        </w:rPr>
        <w:br/>
      </w:r>
      <w:r w:rsidRPr="004F02CD">
        <w:rPr>
          <w:rFonts w:ascii="Arial" w:hAnsi="Arial" w:cs="Arial"/>
          <w:color w:val="222222"/>
          <w:shd w:val="clear" w:color="auto" w:fill="FFFFFF"/>
          <w:lang w:val="es-MX"/>
        </w:rPr>
        <w:t>I. Cualquier acción u omisión relacionada con materiales o residuos peligrosos;</w:t>
      </w:r>
      <w:r w:rsidRPr="004F02CD">
        <w:rPr>
          <w:rFonts w:ascii="Arial" w:hAnsi="Arial" w:cs="Arial"/>
          <w:color w:val="222222"/>
          <w:lang w:val="es-MX"/>
        </w:rPr>
        <w:br/>
      </w:r>
      <w:r w:rsidRPr="004F02CD">
        <w:rPr>
          <w:rFonts w:ascii="Arial" w:hAnsi="Arial" w:cs="Arial"/>
          <w:color w:val="222222"/>
          <w:shd w:val="clear" w:color="auto" w:fill="FFFFFF"/>
          <w:lang w:val="es-MX"/>
        </w:rPr>
        <w:t>II. El uso u operación de embarcaciones en arrecifes de coral;</w:t>
      </w:r>
      <w:r w:rsidRPr="004F02CD">
        <w:rPr>
          <w:rFonts w:ascii="Arial" w:hAnsi="Arial" w:cs="Arial"/>
          <w:color w:val="222222"/>
          <w:lang w:val="es-MX"/>
        </w:rPr>
        <w:br/>
      </w:r>
      <w:r w:rsidRPr="004F02CD">
        <w:rPr>
          <w:rFonts w:ascii="Arial" w:hAnsi="Arial" w:cs="Arial"/>
          <w:color w:val="222222"/>
          <w:shd w:val="clear" w:color="auto" w:fill="FFFFFF"/>
          <w:lang w:val="es-MX"/>
        </w:rPr>
        <w:t>III. La realización de las actividades consideradas como Altamente Riesgosas, y</w:t>
      </w:r>
      <w:r w:rsidRPr="004F02CD">
        <w:rPr>
          <w:rFonts w:ascii="Arial" w:hAnsi="Arial" w:cs="Arial"/>
          <w:color w:val="222222"/>
          <w:lang w:val="es-MX"/>
        </w:rPr>
        <w:br/>
      </w:r>
      <w:r w:rsidRPr="004F02CD">
        <w:rPr>
          <w:rFonts w:ascii="Arial" w:hAnsi="Arial" w:cs="Arial"/>
          <w:color w:val="222222"/>
          <w:shd w:val="clear" w:color="auto" w:fill="FFFFFF"/>
          <w:lang w:val="es-MX"/>
        </w:rPr>
        <w:t>IV. Aquellos supuestos y conductas previstos por el artículo 1913 del Código Civil Federal.</w:t>
      </w:r>
    </w:p>
    <w:p w14:paraId="230411A9" w14:textId="77777777" w:rsidR="006405B6" w:rsidRPr="004F02CD" w:rsidRDefault="006405B6" w:rsidP="003A2764">
      <w:pPr>
        <w:spacing w:line="360" w:lineRule="auto"/>
        <w:jc w:val="both"/>
        <w:rPr>
          <w:rFonts w:ascii="Arial" w:hAnsi="Arial" w:cs="Arial"/>
          <w:color w:val="222222"/>
          <w:shd w:val="clear" w:color="auto" w:fill="FFFFFF"/>
          <w:lang w:val="es-MX"/>
        </w:rPr>
      </w:pPr>
      <w:r w:rsidRPr="004F02CD">
        <w:rPr>
          <w:rFonts w:ascii="Arial" w:hAnsi="Arial" w:cs="Arial"/>
          <w:color w:val="222222"/>
          <w:shd w:val="clear" w:color="auto" w:fill="FFFFFF"/>
          <w:lang w:val="es-MX"/>
        </w:rPr>
        <w:t>.</w:t>
      </w:r>
    </w:p>
    <w:p w14:paraId="6E2632AB" w14:textId="77777777" w:rsidR="007B2483" w:rsidRPr="004F02CD" w:rsidRDefault="006405B6" w:rsidP="003A2764">
      <w:pPr>
        <w:spacing w:line="360" w:lineRule="auto"/>
        <w:jc w:val="both"/>
        <w:rPr>
          <w:rFonts w:ascii="Arial" w:hAnsi="Arial" w:cs="Arial"/>
          <w:bCs/>
          <w:lang w:val="es-MX"/>
        </w:rPr>
      </w:pPr>
      <w:r w:rsidRPr="004F02CD">
        <w:rPr>
          <w:rFonts w:ascii="Arial" w:hAnsi="Arial" w:cs="Arial"/>
          <w:color w:val="222222"/>
          <w:shd w:val="clear" w:color="auto" w:fill="FFFFFF"/>
          <w:lang w:val="es-MX"/>
        </w:rPr>
        <w:t xml:space="preserve">En el derecho ambiental se </w:t>
      </w:r>
      <w:r w:rsidR="00C54EBC" w:rsidRPr="004F02CD">
        <w:rPr>
          <w:rFonts w:ascii="Arial" w:hAnsi="Arial" w:cs="Arial"/>
          <w:bCs/>
          <w:lang w:val="es-MX"/>
        </w:rPr>
        <w:t xml:space="preserve">establece </w:t>
      </w:r>
      <w:proofErr w:type="gramStart"/>
      <w:r w:rsidR="00C54EBC" w:rsidRPr="004F02CD">
        <w:rPr>
          <w:rFonts w:ascii="Arial" w:hAnsi="Arial" w:cs="Arial"/>
          <w:bCs/>
          <w:lang w:val="es-MX"/>
        </w:rPr>
        <w:t xml:space="preserve">que </w:t>
      </w:r>
      <w:r w:rsidR="007B2483" w:rsidRPr="004F02CD">
        <w:rPr>
          <w:rFonts w:ascii="Arial" w:hAnsi="Arial" w:cs="Arial"/>
          <w:bCs/>
          <w:lang w:val="es-MX"/>
        </w:rPr>
        <w:t xml:space="preserve"> “</w:t>
      </w:r>
      <w:proofErr w:type="gramEnd"/>
      <w:r w:rsidR="007B2483" w:rsidRPr="004F02CD">
        <w:rPr>
          <w:rFonts w:ascii="Arial" w:hAnsi="Arial" w:cs="Arial"/>
          <w:bCs/>
          <w:lang w:val="es-MX"/>
        </w:rPr>
        <w:t>El que contamina paga”</w:t>
      </w:r>
      <w:r w:rsidRPr="004F02CD">
        <w:rPr>
          <w:rFonts w:ascii="Arial" w:hAnsi="Arial" w:cs="Arial"/>
          <w:bCs/>
          <w:lang w:val="es-MX"/>
        </w:rPr>
        <w:t>. El</w:t>
      </w:r>
      <w:r w:rsidR="00C54EBC" w:rsidRPr="004F02CD">
        <w:rPr>
          <w:rFonts w:ascii="Arial" w:hAnsi="Arial" w:cs="Arial"/>
          <w:bCs/>
          <w:lang w:val="es-MX"/>
        </w:rPr>
        <w:t xml:space="preserve"> reglamento Art 130</w:t>
      </w:r>
      <w:r w:rsidRPr="004F02CD">
        <w:rPr>
          <w:rFonts w:ascii="Arial" w:hAnsi="Arial" w:cs="Arial"/>
          <w:bCs/>
          <w:lang w:val="es-MX"/>
        </w:rPr>
        <w:t xml:space="preserve"> de la ley que regula el tema ambiental se </w:t>
      </w:r>
      <w:r w:rsidR="0064552E">
        <w:rPr>
          <w:rFonts w:ascii="Arial" w:hAnsi="Arial" w:cs="Arial"/>
          <w:bCs/>
          <w:lang w:val="es-MX"/>
        </w:rPr>
        <w:t>determina</w:t>
      </w:r>
      <w:r w:rsidR="00C54EBC" w:rsidRPr="004F02CD">
        <w:rPr>
          <w:rFonts w:ascii="Arial" w:hAnsi="Arial" w:cs="Arial"/>
          <w:bCs/>
          <w:lang w:val="es-MX"/>
        </w:rPr>
        <w:t xml:space="preserve"> que en caso de desastres </w:t>
      </w:r>
      <w:r w:rsidRPr="004F02CD">
        <w:rPr>
          <w:rFonts w:ascii="Arial" w:hAnsi="Arial" w:cs="Arial"/>
          <w:bCs/>
          <w:lang w:val="es-MX"/>
        </w:rPr>
        <w:t xml:space="preserve">o emergencias </w:t>
      </w:r>
      <w:r w:rsidR="00C54EBC" w:rsidRPr="004F02CD">
        <w:rPr>
          <w:rFonts w:ascii="Arial" w:hAnsi="Arial" w:cs="Arial"/>
          <w:bCs/>
          <w:lang w:val="es-MX"/>
        </w:rPr>
        <w:t xml:space="preserve">como el que nos ocupa son responsables de la reparación del daño tanto el propietario de los productos trasladados y </w:t>
      </w:r>
      <w:proofErr w:type="gramStart"/>
      <w:r w:rsidR="00C54EBC" w:rsidRPr="004F02CD">
        <w:rPr>
          <w:rFonts w:ascii="Arial" w:hAnsi="Arial" w:cs="Arial"/>
          <w:bCs/>
          <w:lang w:val="es-MX"/>
        </w:rPr>
        <w:t>derramados</w:t>
      </w:r>
      <w:proofErr w:type="gramEnd"/>
      <w:r w:rsidR="00C54EBC" w:rsidRPr="004F02CD">
        <w:rPr>
          <w:rFonts w:ascii="Arial" w:hAnsi="Arial" w:cs="Arial"/>
          <w:bCs/>
          <w:lang w:val="es-MX"/>
        </w:rPr>
        <w:t xml:space="preserve"> </w:t>
      </w:r>
      <w:r w:rsidR="0064552E" w:rsidRPr="004F02CD">
        <w:rPr>
          <w:rFonts w:ascii="Arial" w:hAnsi="Arial" w:cs="Arial"/>
          <w:bCs/>
          <w:lang w:val="es-MX"/>
        </w:rPr>
        <w:t>así</w:t>
      </w:r>
      <w:r w:rsidR="00C54EBC" w:rsidRPr="004F02CD">
        <w:rPr>
          <w:rFonts w:ascii="Arial" w:hAnsi="Arial" w:cs="Arial"/>
          <w:bCs/>
          <w:lang w:val="es-MX"/>
        </w:rPr>
        <w:t xml:space="preserve"> como el prestador de servicios de transporte en este caso </w:t>
      </w:r>
      <w:r w:rsidR="007B2483" w:rsidRPr="004F02CD">
        <w:rPr>
          <w:rFonts w:ascii="Arial" w:hAnsi="Arial" w:cs="Arial"/>
          <w:bCs/>
          <w:lang w:val="es-MX"/>
        </w:rPr>
        <w:t>Ferromex la encargada de hacer las gestiones y trabajos de reparación y limpieza.</w:t>
      </w:r>
    </w:p>
    <w:p w14:paraId="4A72C5C1" w14:textId="77777777" w:rsidR="007B2483" w:rsidRPr="004F02CD" w:rsidRDefault="007B2483" w:rsidP="003A2764">
      <w:pPr>
        <w:spacing w:line="360" w:lineRule="auto"/>
        <w:jc w:val="both"/>
        <w:rPr>
          <w:rFonts w:ascii="Arial" w:hAnsi="Arial" w:cs="Arial"/>
          <w:bCs/>
          <w:lang w:val="es-MX"/>
        </w:rPr>
      </w:pPr>
    </w:p>
    <w:p w14:paraId="30194BDD" w14:textId="77777777" w:rsidR="00E93AC3" w:rsidRPr="004F02CD" w:rsidRDefault="00C54EBC" w:rsidP="003A2764">
      <w:pPr>
        <w:spacing w:line="360" w:lineRule="auto"/>
        <w:jc w:val="both"/>
        <w:rPr>
          <w:rFonts w:ascii="Arial" w:hAnsi="Arial" w:cs="Arial"/>
          <w:bCs/>
          <w:lang w:val="es-MX"/>
        </w:rPr>
      </w:pPr>
      <w:r w:rsidRPr="004F02CD">
        <w:rPr>
          <w:rFonts w:ascii="Arial" w:hAnsi="Arial" w:cs="Arial"/>
          <w:bCs/>
          <w:lang w:val="es-MX"/>
        </w:rPr>
        <w:t xml:space="preserve">En base al Art 138 del mismo reglamento de la ley LGPGIR Ferromex debe elaborar </w:t>
      </w:r>
      <w:r w:rsidR="00E93AC3" w:rsidRPr="004F02CD">
        <w:rPr>
          <w:rFonts w:ascii="Arial" w:hAnsi="Arial" w:cs="Arial"/>
          <w:bCs/>
          <w:lang w:val="es-MX"/>
        </w:rPr>
        <w:t xml:space="preserve">y entregar a la brevedad </w:t>
      </w:r>
      <w:r w:rsidRPr="004F02CD">
        <w:rPr>
          <w:rFonts w:ascii="Arial" w:hAnsi="Arial" w:cs="Arial"/>
          <w:bCs/>
          <w:lang w:val="es-MX"/>
        </w:rPr>
        <w:t>un estudio de “caracterización” del sitio contaminado</w:t>
      </w:r>
      <w:r w:rsidR="00E93AC3" w:rsidRPr="004F02CD">
        <w:rPr>
          <w:rFonts w:ascii="Arial" w:hAnsi="Arial" w:cs="Arial"/>
          <w:bCs/>
          <w:lang w:val="es-MX"/>
        </w:rPr>
        <w:t>.</w:t>
      </w:r>
    </w:p>
    <w:p w14:paraId="55803374" w14:textId="77777777" w:rsidR="00E93AC3" w:rsidRPr="004F02CD" w:rsidRDefault="00E93AC3" w:rsidP="006405B6">
      <w:pPr>
        <w:spacing w:line="360" w:lineRule="auto"/>
        <w:rPr>
          <w:rFonts w:ascii="Arial" w:hAnsi="Arial" w:cs="Arial"/>
          <w:color w:val="222222"/>
          <w:shd w:val="clear" w:color="auto" w:fill="FFFFFF"/>
          <w:lang w:val="es-MX"/>
        </w:rPr>
      </w:pPr>
    </w:p>
    <w:p w14:paraId="3242BEA3" w14:textId="77777777" w:rsidR="00E93AC3" w:rsidRPr="004F02CD" w:rsidRDefault="00E93AC3" w:rsidP="006405B6">
      <w:pPr>
        <w:spacing w:line="360" w:lineRule="auto"/>
        <w:rPr>
          <w:rFonts w:ascii="Arial" w:hAnsi="Arial" w:cs="Arial"/>
          <w:color w:val="222222"/>
          <w:shd w:val="clear" w:color="auto" w:fill="FFFFFF"/>
          <w:lang w:val="es-MX"/>
        </w:rPr>
      </w:pPr>
      <w:r w:rsidRPr="004F02CD">
        <w:rPr>
          <w:rFonts w:ascii="Arial" w:hAnsi="Arial" w:cs="Arial"/>
          <w:color w:val="222222"/>
          <w:shd w:val="clear" w:color="auto" w:fill="FFFFFF"/>
          <w:lang w:val="es-MX"/>
        </w:rPr>
        <w:lastRenderedPageBreak/>
        <w:t>Artículo 138.- El estudio de caracterización contendrá:</w:t>
      </w:r>
      <w:r w:rsidRPr="004F02CD">
        <w:rPr>
          <w:rFonts w:ascii="Arial" w:hAnsi="Arial" w:cs="Arial"/>
          <w:color w:val="222222"/>
          <w:lang w:val="es-MX"/>
        </w:rPr>
        <w:br/>
      </w:r>
      <w:r w:rsidRPr="004F02CD">
        <w:rPr>
          <w:rFonts w:ascii="Arial" w:hAnsi="Arial" w:cs="Arial"/>
          <w:color w:val="222222"/>
          <w:shd w:val="clear" w:color="auto" w:fill="FFFFFF"/>
          <w:lang w:val="es-MX"/>
        </w:rPr>
        <w:t>I.- La ubicación, descripción y uso actual del sitio contaminado, incluyendo los cuerpos de agua que existan</w:t>
      </w:r>
      <w:r w:rsidRPr="004F02CD">
        <w:rPr>
          <w:rFonts w:ascii="Arial" w:hAnsi="Arial" w:cs="Arial"/>
          <w:color w:val="222222"/>
          <w:lang w:val="es-MX"/>
        </w:rPr>
        <w:br/>
      </w:r>
      <w:r w:rsidRPr="004F02CD">
        <w:rPr>
          <w:rFonts w:ascii="Arial" w:hAnsi="Arial" w:cs="Arial"/>
          <w:color w:val="222222"/>
          <w:shd w:val="clear" w:color="auto" w:fill="FFFFFF"/>
          <w:lang w:val="es-MX"/>
        </w:rPr>
        <w:t>en el lugar y si la autoridad del agua fue informada de algún daño a los mismos;</w:t>
      </w:r>
      <w:r w:rsidRPr="004F02CD">
        <w:rPr>
          <w:rFonts w:ascii="Arial" w:hAnsi="Arial" w:cs="Arial"/>
          <w:color w:val="222222"/>
          <w:lang w:val="es-MX"/>
        </w:rPr>
        <w:br/>
      </w:r>
      <w:r w:rsidRPr="004F02CD">
        <w:rPr>
          <w:rFonts w:ascii="Arial" w:hAnsi="Arial" w:cs="Arial"/>
          <w:color w:val="222222"/>
          <w:shd w:val="clear" w:color="auto" w:fill="FFFFFF"/>
          <w:lang w:val="es-MX"/>
        </w:rPr>
        <w:t>II.- El tipo de contaminante y cantidad aproximada de liberación al ambiente;</w:t>
      </w:r>
      <w:r w:rsidRPr="004F02CD">
        <w:rPr>
          <w:rFonts w:ascii="Arial" w:hAnsi="Arial" w:cs="Arial"/>
          <w:color w:val="222222"/>
          <w:lang w:val="es-MX"/>
        </w:rPr>
        <w:br/>
      </w:r>
      <w:r w:rsidRPr="004F02CD">
        <w:rPr>
          <w:rFonts w:ascii="Arial" w:hAnsi="Arial" w:cs="Arial"/>
          <w:color w:val="222222"/>
          <w:shd w:val="clear" w:color="auto" w:fill="FFFFFF"/>
          <w:lang w:val="es-MX"/>
        </w:rPr>
        <w:t>III.- El área y volumen de suelo dañado;</w:t>
      </w:r>
      <w:r w:rsidRPr="004F02CD">
        <w:rPr>
          <w:rFonts w:ascii="Arial" w:hAnsi="Arial" w:cs="Arial"/>
          <w:color w:val="222222"/>
          <w:lang w:val="es-MX"/>
        </w:rPr>
        <w:br/>
      </w:r>
      <w:r w:rsidRPr="004F02CD">
        <w:rPr>
          <w:rFonts w:ascii="Arial" w:hAnsi="Arial" w:cs="Arial"/>
          <w:color w:val="222222"/>
          <w:shd w:val="clear" w:color="auto" w:fill="FFFFFF"/>
          <w:lang w:val="es-MX"/>
        </w:rPr>
        <w:t>IV.- El plan de muestreo que prevean las normas oficiales mexicanas;</w:t>
      </w:r>
      <w:r w:rsidRPr="004F02CD">
        <w:rPr>
          <w:rFonts w:ascii="Arial" w:hAnsi="Arial" w:cs="Arial"/>
          <w:color w:val="222222"/>
          <w:lang w:val="es-MX"/>
        </w:rPr>
        <w:br/>
      </w:r>
    </w:p>
    <w:p w14:paraId="4598305B" w14:textId="77777777" w:rsidR="00E93AC3" w:rsidRPr="004F02CD" w:rsidRDefault="00E93AC3" w:rsidP="006405B6">
      <w:pPr>
        <w:spacing w:line="360" w:lineRule="auto"/>
        <w:rPr>
          <w:rFonts w:ascii="Arial" w:hAnsi="Arial" w:cs="Arial"/>
          <w:bCs/>
          <w:lang w:val="es-MX"/>
        </w:rPr>
      </w:pPr>
      <w:r w:rsidRPr="004F02CD">
        <w:rPr>
          <w:rFonts w:ascii="Arial" w:hAnsi="Arial" w:cs="Arial"/>
          <w:color w:val="222222"/>
          <w:shd w:val="clear" w:color="auto" w:fill="FFFFFF"/>
          <w:lang w:val="es-MX"/>
        </w:rPr>
        <w:t>*Nota: Si no existe NOM debe atenderse lo señalado en el artículo DÉCIMO TRANSITORIO del Reglamento de la LGPGIR en lo referente al plan de muestreo</w:t>
      </w:r>
      <w:r w:rsidRPr="004F02CD">
        <w:rPr>
          <w:rFonts w:ascii="Arial" w:hAnsi="Arial" w:cs="Arial"/>
          <w:color w:val="222222"/>
          <w:lang w:val="es-MX"/>
        </w:rPr>
        <w:br/>
      </w:r>
      <w:r w:rsidRPr="004F02CD">
        <w:rPr>
          <w:rFonts w:ascii="Arial" w:hAnsi="Arial" w:cs="Arial"/>
          <w:color w:val="222222"/>
          <w:shd w:val="clear" w:color="auto" w:fill="FFFFFF"/>
          <w:lang w:val="es-MX"/>
        </w:rPr>
        <w:t>V.- Los resultados de las determinaciones analíticas de los contaminantes en las muestras de suelos y, en su</w:t>
      </w:r>
      <w:r w:rsidRPr="004F02CD">
        <w:rPr>
          <w:rFonts w:ascii="Arial" w:hAnsi="Arial" w:cs="Arial"/>
          <w:color w:val="222222"/>
          <w:lang w:val="es-MX"/>
        </w:rPr>
        <w:br/>
      </w:r>
      <w:r w:rsidRPr="004F02CD">
        <w:rPr>
          <w:rFonts w:ascii="Arial" w:hAnsi="Arial" w:cs="Arial"/>
          <w:color w:val="222222"/>
          <w:shd w:val="clear" w:color="auto" w:fill="FFFFFF"/>
          <w:lang w:val="es-MX"/>
        </w:rPr>
        <w:t>caso, los de los análisis y pruebas químicas, así como los de las pruebas físicas, biológicas y mecánicas</w:t>
      </w:r>
      <w:r w:rsidRPr="004F02CD">
        <w:rPr>
          <w:rFonts w:ascii="Arial" w:hAnsi="Arial" w:cs="Arial"/>
          <w:color w:val="222222"/>
          <w:lang w:val="es-MX"/>
        </w:rPr>
        <w:br/>
      </w:r>
      <w:r w:rsidRPr="004F02CD">
        <w:rPr>
          <w:rFonts w:ascii="Arial" w:hAnsi="Arial" w:cs="Arial"/>
          <w:color w:val="222222"/>
          <w:shd w:val="clear" w:color="auto" w:fill="FFFFFF"/>
          <w:lang w:val="es-MX"/>
        </w:rPr>
        <w:t>practicadas a las mismas, mostrando los valores superficiales o a profundidad, según se requiera, y</w:t>
      </w:r>
      <w:r w:rsidRPr="004F02CD">
        <w:rPr>
          <w:rFonts w:ascii="Arial" w:hAnsi="Arial" w:cs="Arial"/>
          <w:color w:val="222222"/>
          <w:lang w:val="es-MX"/>
        </w:rPr>
        <w:br/>
      </w:r>
      <w:r w:rsidRPr="004F02CD">
        <w:rPr>
          <w:rFonts w:ascii="Arial" w:hAnsi="Arial" w:cs="Arial"/>
          <w:color w:val="222222"/>
          <w:shd w:val="clear" w:color="auto" w:fill="FFFFFF"/>
          <w:lang w:val="es-MX"/>
        </w:rPr>
        <w:t>VI.-La memoria fotográfica de los trabajos efectuados.</w:t>
      </w:r>
      <w:r w:rsidRPr="004F02CD">
        <w:rPr>
          <w:rFonts w:ascii="Arial" w:hAnsi="Arial" w:cs="Arial"/>
          <w:color w:val="222222"/>
          <w:lang w:val="es-MX"/>
        </w:rPr>
        <w:br/>
      </w:r>
      <w:r w:rsidRPr="004F02CD">
        <w:rPr>
          <w:rFonts w:ascii="Arial" w:hAnsi="Arial" w:cs="Arial"/>
          <w:color w:val="222222"/>
          <w:shd w:val="clear" w:color="auto" w:fill="FFFFFF"/>
          <w:lang w:val="es-MX"/>
        </w:rPr>
        <w:t>En el caso de que no exista un laboratorio acreditado para realizar los análisis señalados en la fracción</w:t>
      </w:r>
      <w:r w:rsidRPr="004F02CD">
        <w:rPr>
          <w:rFonts w:ascii="Arial" w:hAnsi="Arial" w:cs="Arial"/>
          <w:color w:val="222222"/>
          <w:lang w:val="es-MX"/>
        </w:rPr>
        <w:br/>
      </w:r>
      <w:r w:rsidRPr="004F02CD">
        <w:rPr>
          <w:rFonts w:ascii="Arial" w:hAnsi="Arial" w:cs="Arial"/>
          <w:color w:val="222222"/>
          <w:shd w:val="clear" w:color="auto" w:fill="FFFFFF"/>
          <w:lang w:val="es-MX"/>
        </w:rPr>
        <w:t>V de este artículo se practicarán por el laboratorio que elija el responsable del programa de remediación, en</w:t>
      </w:r>
      <w:r w:rsidRPr="004F02CD">
        <w:rPr>
          <w:rFonts w:ascii="Arial" w:hAnsi="Arial" w:cs="Arial"/>
          <w:color w:val="222222"/>
          <w:lang w:val="es-MX"/>
        </w:rPr>
        <w:br/>
      </w:r>
      <w:r w:rsidRPr="004F02CD">
        <w:rPr>
          <w:rFonts w:ascii="Arial" w:hAnsi="Arial" w:cs="Arial"/>
          <w:color w:val="222222"/>
          <w:shd w:val="clear" w:color="auto" w:fill="FFFFFF"/>
          <w:lang w:val="es-MX"/>
        </w:rPr>
        <w:t>términos de lo establecido en la Ley Federal sobre Metrología y Normalización.</w:t>
      </w:r>
    </w:p>
    <w:p w14:paraId="7A83F549" w14:textId="77777777" w:rsidR="00E93AC3" w:rsidRPr="004F02CD" w:rsidRDefault="00E93AC3" w:rsidP="006405B6">
      <w:pPr>
        <w:spacing w:line="360" w:lineRule="auto"/>
        <w:rPr>
          <w:rFonts w:ascii="Arial" w:hAnsi="Arial" w:cs="Arial"/>
          <w:bCs/>
          <w:lang w:val="es-MX"/>
        </w:rPr>
      </w:pPr>
    </w:p>
    <w:p w14:paraId="3365F6BE" w14:textId="77777777" w:rsidR="00C54EBC" w:rsidRPr="004F02CD" w:rsidRDefault="00E93AC3" w:rsidP="006405B6">
      <w:pPr>
        <w:spacing w:line="360" w:lineRule="auto"/>
        <w:rPr>
          <w:rFonts w:ascii="Arial" w:hAnsi="Arial" w:cs="Arial"/>
          <w:bCs/>
          <w:lang w:val="es-MX"/>
        </w:rPr>
      </w:pPr>
      <w:r w:rsidRPr="004F02CD">
        <w:rPr>
          <w:rFonts w:ascii="Arial" w:hAnsi="Arial" w:cs="Arial"/>
          <w:bCs/>
          <w:lang w:val="es-MX"/>
        </w:rPr>
        <w:t xml:space="preserve">Ferromex deberá a la par entregar </w:t>
      </w:r>
      <w:r w:rsidR="00C54EBC" w:rsidRPr="004F02CD">
        <w:rPr>
          <w:rFonts w:ascii="Arial" w:hAnsi="Arial" w:cs="Arial"/>
          <w:bCs/>
          <w:lang w:val="es-MX"/>
        </w:rPr>
        <w:t>el Programa de “Remediación”</w:t>
      </w:r>
      <w:r w:rsidR="006405B6" w:rsidRPr="004F02CD">
        <w:rPr>
          <w:rFonts w:ascii="Arial" w:hAnsi="Arial" w:cs="Arial"/>
          <w:bCs/>
          <w:lang w:val="es-MX"/>
        </w:rPr>
        <w:t xml:space="preserve"> con fundamento</w:t>
      </w:r>
      <w:r w:rsidR="00C54EBC" w:rsidRPr="004F02CD">
        <w:rPr>
          <w:rFonts w:ascii="Arial" w:hAnsi="Arial" w:cs="Arial"/>
          <w:bCs/>
          <w:lang w:val="es-MX"/>
        </w:rPr>
        <w:t xml:space="preserve"> en el Art 135.</w:t>
      </w:r>
      <w:r w:rsidRPr="004F02CD">
        <w:rPr>
          <w:rFonts w:ascii="Arial" w:hAnsi="Arial" w:cs="Arial"/>
          <w:bCs/>
          <w:lang w:val="es-MX"/>
        </w:rPr>
        <w:t xml:space="preserve"> Para que inicie con la reparación de daños ocasionado por la EMERGENCIA AMBIENTAL aquí detallada.</w:t>
      </w:r>
    </w:p>
    <w:p w14:paraId="69B7AF5D" w14:textId="77777777" w:rsidR="00C54EBC" w:rsidRPr="004F02CD" w:rsidRDefault="00C54EBC" w:rsidP="006405B6">
      <w:pPr>
        <w:spacing w:line="360" w:lineRule="auto"/>
        <w:rPr>
          <w:rFonts w:ascii="Arial" w:hAnsi="Arial" w:cs="Arial"/>
          <w:bCs/>
          <w:lang w:val="es-MX"/>
        </w:rPr>
      </w:pPr>
    </w:p>
    <w:p w14:paraId="46CF628B" w14:textId="77777777" w:rsidR="0004040E" w:rsidRDefault="006405B6" w:rsidP="006405B6">
      <w:pPr>
        <w:spacing w:line="360" w:lineRule="auto"/>
        <w:rPr>
          <w:rFonts w:ascii="Arial" w:hAnsi="Arial" w:cs="Arial"/>
          <w:color w:val="222222"/>
          <w:shd w:val="clear" w:color="auto" w:fill="FFFFFF"/>
          <w:lang w:val="es-MX"/>
        </w:rPr>
      </w:pPr>
      <w:r w:rsidRPr="004F02CD">
        <w:rPr>
          <w:rFonts w:ascii="Arial" w:hAnsi="Arial" w:cs="Arial"/>
          <w:color w:val="222222"/>
          <w:shd w:val="clear" w:color="auto" w:fill="FFFFFF"/>
          <w:lang w:val="es-MX"/>
        </w:rPr>
        <w:t>Artículo 135.- Cuando se trate de emergencias, los programas de remediación de sitios contaminados con</w:t>
      </w:r>
      <w:r w:rsidR="0004040E">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materiales peligrosos o residuos peligrosos incluirán los datos generales del responsable de la contaminación,</w:t>
      </w:r>
      <w:r w:rsidR="0004040E">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 xml:space="preserve">incluyendo su actividad, los </w:t>
      </w:r>
    </w:p>
    <w:p w14:paraId="1D044D95" w14:textId="77777777" w:rsidR="0004040E" w:rsidRDefault="0004040E" w:rsidP="006405B6">
      <w:pPr>
        <w:spacing w:line="360" w:lineRule="auto"/>
        <w:rPr>
          <w:rFonts w:ascii="Arial" w:hAnsi="Arial" w:cs="Arial"/>
          <w:color w:val="222222"/>
          <w:shd w:val="clear" w:color="auto" w:fill="FFFFFF"/>
          <w:lang w:val="es-MX"/>
        </w:rPr>
      </w:pPr>
    </w:p>
    <w:p w14:paraId="492113DC" w14:textId="77777777" w:rsidR="0004040E" w:rsidRDefault="0004040E" w:rsidP="006405B6">
      <w:pPr>
        <w:spacing w:line="360" w:lineRule="auto"/>
        <w:rPr>
          <w:rFonts w:ascii="Arial" w:hAnsi="Arial" w:cs="Arial"/>
          <w:color w:val="222222"/>
          <w:shd w:val="clear" w:color="auto" w:fill="FFFFFF"/>
          <w:lang w:val="es-MX"/>
        </w:rPr>
      </w:pPr>
    </w:p>
    <w:p w14:paraId="1503CABF" w14:textId="77777777" w:rsidR="0004040E" w:rsidRDefault="0004040E" w:rsidP="006405B6">
      <w:pPr>
        <w:spacing w:line="360" w:lineRule="auto"/>
        <w:rPr>
          <w:rFonts w:ascii="Arial" w:hAnsi="Arial" w:cs="Arial"/>
          <w:color w:val="222222"/>
          <w:shd w:val="clear" w:color="auto" w:fill="FFFFFF"/>
          <w:lang w:val="es-MX"/>
        </w:rPr>
      </w:pPr>
    </w:p>
    <w:p w14:paraId="4D85C379" w14:textId="4FC2B664" w:rsidR="00C54EBC" w:rsidRPr="004F02CD" w:rsidRDefault="006405B6" w:rsidP="006405B6">
      <w:pPr>
        <w:spacing w:line="360" w:lineRule="auto"/>
        <w:rPr>
          <w:rFonts w:ascii="Arial" w:hAnsi="Arial" w:cs="Arial"/>
          <w:bCs/>
          <w:lang w:val="es-MX"/>
        </w:rPr>
      </w:pPr>
      <w:r w:rsidRPr="004F02CD">
        <w:rPr>
          <w:rFonts w:ascii="Arial" w:hAnsi="Arial" w:cs="Arial"/>
          <w:color w:val="222222"/>
          <w:shd w:val="clear" w:color="auto" w:fill="FFFFFF"/>
          <w:lang w:val="es-MX"/>
        </w:rPr>
        <w:t>datos del responsable técnico de la remediación, el lugar y fecha en que ocurrió</w:t>
      </w:r>
      <w:r w:rsidRPr="004F02CD">
        <w:rPr>
          <w:rFonts w:ascii="Arial" w:hAnsi="Arial" w:cs="Arial"/>
          <w:color w:val="222222"/>
          <w:lang w:val="es-MX"/>
        </w:rPr>
        <w:br/>
      </w:r>
      <w:r w:rsidRPr="004F02CD">
        <w:rPr>
          <w:rFonts w:ascii="Arial" w:hAnsi="Arial" w:cs="Arial"/>
          <w:color w:val="222222"/>
          <w:shd w:val="clear" w:color="auto" w:fill="FFFFFF"/>
          <w:lang w:val="es-MX"/>
        </w:rPr>
        <w:t>la emergencia y los resultados de los estudios de caracterización.</w:t>
      </w:r>
      <w:r w:rsidRPr="004F02CD">
        <w:rPr>
          <w:rFonts w:ascii="Arial" w:hAnsi="Arial" w:cs="Arial"/>
          <w:color w:val="222222"/>
          <w:lang w:val="es-MX"/>
        </w:rPr>
        <w:br/>
      </w:r>
      <w:r w:rsidRPr="004F02CD">
        <w:rPr>
          <w:rFonts w:ascii="Arial" w:hAnsi="Arial" w:cs="Arial"/>
          <w:color w:val="222222"/>
          <w:shd w:val="clear" w:color="auto" w:fill="FFFFFF"/>
          <w:lang w:val="es-MX"/>
        </w:rPr>
        <w:t>A dichos programas se integrarán los siguientes documentos:</w:t>
      </w:r>
      <w:r w:rsidRPr="004F02CD">
        <w:rPr>
          <w:rFonts w:ascii="Arial" w:hAnsi="Arial" w:cs="Arial"/>
          <w:color w:val="222222"/>
          <w:lang w:val="es-MX"/>
        </w:rPr>
        <w:br/>
      </w:r>
      <w:r w:rsidRPr="004F02CD">
        <w:rPr>
          <w:rFonts w:ascii="Arial" w:hAnsi="Arial" w:cs="Arial"/>
          <w:color w:val="222222"/>
          <w:shd w:val="clear" w:color="auto" w:fill="FFFFFF"/>
          <w:lang w:val="es-MX"/>
        </w:rPr>
        <w:t xml:space="preserve">I.- Planos del lugar a una escala tal que permita apreciar la información requerida, </w:t>
      </w:r>
      <w:proofErr w:type="spellStart"/>
      <w:r w:rsidRPr="004F02CD">
        <w:rPr>
          <w:rFonts w:ascii="Arial" w:hAnsi="Arial" w:cs="Arial"/>
          <w:color w:val="222222"/>
          <w:shd w:val="clear" w:color="auto" w:fill="FFFFFF"/>
          <w:lang w:val="es-MX"/>
        </w:rPr>
        <w:t>georeferenciados</w:t>
      </w:r>
      <w:proofErr w:type="spellEnd"/>
      <w:r w:rsidRPr="004F02CD">
        <w:rPr>
          <w:rFonts w:ascii="Arial" w:hAnsi="Arial" w:cs="Arial"/>
          <w:color w:val="222222"/>
          <w:shd w:val="clear" w:color="auto" w:fill="FFFFFF"/>
          <w:lang w:val="es-MX"/>
        </w:rPr>
        <w:t xml:space="preserve"> con</w:t>
      </w:r>
      <w:r w:rsidR="00E96217">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coordenadas UTM y orientación geográfica, donde se muestren topografía, cuerpos de agua superficiales,</w:t>
      </w:r>
      <w:r w:rsidRPr="004F02CD">
        <w:rPr>
          <w:rFonts w:ascii="Arial" w:hAnsi="Arial" w:cs="Arial"/>
          <w:color w:val="222222"/>
          <w:lang w:val="es-MX"/>
        </w:rPr>
        <w:br/>
      </w:r>
      <w:r w:rsidRPr="004F02CD">
        <w:rPr>
          <w:rFonts w:ascii="Arial" w:hAnsi="Arial" w:cs="Arial"/>
          <w:color w:val="222222"/>
          <w:shd w:val="clear" w:color="auto" w:fill="FFFFFF"/>
          <w:lang w:val="es-MX"/>
        </w:rPr>
        <w:t>II.- Documento comprobatorio de la cadena de custodia de las muestras;</w:t>
      </w:r>
      <w:r w:rsidRPr="004F02CD">
        <w:rPr>
          <w:rFonts w:ascii="Arial" w:hAnsi="Arial" w:cs="Arial"/>
          <w:color w:val="222222"/>
          <w:lang w:val="es-MX"/>
        </w:rPr>
        <w:br/>
      </w:r>
      <w:r w:rsidRPr="004F02CD">
        <w:rPr>
          <w:rFonts w:ascii="Arial" w:hAnsi="Arial" w:cs="Arial"/>
          <w:color w:val="222222"/>
          <w:shd w:val="clear" w:color="auto" w:fill="FFFFFF"/>
          <w:lang w:val="es-MX"/>
        </w:rPr>
        <w:t>III.- Planos isométricos de concentraciones y migración del contaminante en suelo y subsuelo;</w:t>
      </w:r>
      <w:r w:rsidRPr="004F02CD">
        <w:rPr>
          <w:rFonts w:ascii="Arial" w:hAnsi="Arial" w:cs="Arial"/>
          <w:color w:val="222222"/>
          <w:lang w:val="es-MX"/>
        </w:rPr>
        <w:br/>
      </w:r>
      <w:r w:rsidRPr="004F02CD">
        <w:rPr>
          <w:rFonts w:ascii="Arial" w:hAnsi="Arial" w:cs="Arial"/>
          <w:color w:val="222222"/>
          <w:shd w:val="clear" w:color="auto" w:fill="FFFFFF"/>
          <w:lang w:val="es-MX"/>
        </w:rPr>
        <w:t xml:space="preserve">IV.- </w:t>
      </w:r>
      <w:r w:rsidRPr="004F02CD">
        <w:rPr>
          <w:rFonts w:ascii="Arial" w:hAnsi="Arial" w:cs="Arial"/>
          <w:color w:val="222222"/>
          <w:shd w:val="clear" w:color="auto" w:fill="FFFFFF"/>
        </w:rPr>
        <w:t xml:space="preserve">Memoria </w:t>
      </w:r>
      <w:proofErr w:type="spellStart"/>
      <w:r w:rsidRPr="004F02CD">
        <w:rPr>
          <w:rFonts w:ascii="Arial" w:hAnsi="Arial" w:cs="Arial"/>
          <w:color w:val="222222"/>
          <w:shd w:val="clear" w:color="auto" w:fill="FFFFFF"/>
        </w:rPr>
        <w:t>fotográfica</w:t>
      </w:r>
      <w:proofErr w:type="spellEnd"/>
      <w:r w:rsidRPr="004F02CD">
        <w:rPr>
          <w:rFonts w:ascii="Arial" w:hAnsi="Arial" w:cs="Arial"/>
          <w:color w:val="222222"/>
          <w:shd w:val="clear" w:color="auto" w:fill="FFFFFF"/>
        </w:rPr>
        <w:t xml:space="preserve"> del sitio;</w:t>
      </w:r>
    </w:p>
    <w:p w14:paraId="1FA8DABE" w14:textId="77777777" w:rsidR="00C54EBC" w:rsidRPr="004F02CD" w:rsidRDefault="00C54EBC" w:rsidP="006405B6">
      <w:pPr>
        <w:spacing w:line="360" w:lineRule="auto"/>
        <w:rPr>
          <w:rFonts w:ascii="Arial" w:hAnsi="Arial" w:cs="Arial"/>
          <w:bCs/>
          <w:lang w:val="es-MX"/>
        </w:rPr>
      </w:pPr>
    </w:p>
    <w:p w14:paraId="2BDC6013" w14:textId="77777777" w:rsidR="007B2483" w:rsidRPr="004F02CD" w:rsidRDefault="007B2483" w:rsidP="006405B6">
      <w:pPr>
        <w:spacing w:line="360" w:lineRule="auto"/>
        <w:rPr>
          <w:rFonts w:ascii="Arial" w:hAnsi="Arial" w:cs="Arial"/>
          <w:bCs/>
          <w:lang w:val="es-MX"/>
        </w:rPr>
      </w:pPr>
    </w:p>
    <w:p w14:paraId="405E8375" w14:textId="77777777" w:rsidR="006505AA" w:rsidRPr="004F02CD" w:rsidRDefault="006405B6" w:rsidP="006505AA">
      <w:pPr>
        <w:spacing w:line="360" w:lineRule="auto"/>
        <w:rPr>
          <w:rFonts w:ascii="Arial" w:hAnsi="Arial" w:cs="Arial"/>
          <w:color w:val="222222"/>
          <w:shd w:val="clear" w:color="auto" w:fill="FFFFFF"/>
          <w:lang w:val="es-MX"/>
        </w:rPr>
      </w:pPr>
      <w:r w:rsidRPr="004F02CD">
        <w:rPr>
          <w:rFonts w:ascii="Arial" w:hAnsi="Arial" w:cs="Arial"/>
          <w:bCs/>
          <w:lang w:val="es-MX"/>
        </w:rPr>
        <w:t xml:space="preserve">Art 13. </w:t>
      </w:r>
      <w:r w:rsidRPr="004F02CD">
        <w:rPr>
          <w:rFonts w:ascii="Arial" w:hAnsi="Arial" w:cs="Arial"/>
          <w:color w:val="222222"/>
          <w:shd w:val="clear" w:color="auto" w:fill="FFFFFF"/>
          <w:lang w:val="es-MX"/>
        </w:rPr>
        <w:t> La reparación de los daños ocasionados al ambiente consistirá en restituir a su Estado</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Base los hábitat, los ecosistemas, los elementos y recursos naturales, sus condiciones químicas, físicas o</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biológicas y las relaciones de interacción que se dan entre estos, así como los servicios ambientales que</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 xml:space="preserve">proporcionan, </w:t>
      </w:r>
      <w:r w:rsidR="006505AA" w:rsidRPr="004F02CD">
        <w:rPr>
          <w:rFonts w:ascii="Arial" w:hAnsi="Arial" w:cs="Arial"/>
          <w:color w:val="222222"/>
          <w:shd w:val="clear" w:color="auto" w:fill="FFFFFF"/>
          <w:lang w:val="es-MX"/>
        </w:rPr>
        <w:t>m</w:t>
      </w:r>
      <w:r w:rsidRPr="004F02CD">
        <w:rPr>
          <w:rFonts w:ascii="Arial" w:hAnsi="Arial" w:cs="Arial"/>
          <w:color w:val="222222"/>
          <w:shd w:val="clear" w:color="auto" w:fill="FFFFFF"/>
          <w:lang w:val="es-MX"/>
        </w:rPr>
        <w:t xml:space="preserve">ediante la restauración, restablecimiento, tratamiento, recuperación o </w:t>
      </w:r>
      <w:r w:rsidR="006505AA" w:rsidRPr="004F02CD">
        <w:rPr>
          <w:rFonts w:ascii="Arial" w:hAnsi="Arial" w:cs="Arial"/>
          <w:color w:val="222222"/>
          <w:shd w:val="clear" w:color="auto" w:fill="FFFFFF"/>
          <w:lang w:val="es-MX"/>
        </w:rPr>
        <w:t>r</w:t>
      </w:r>
      <w:r w:rsidRPr="004F02CD">
        <w:rPr>
          <w:rFonts w:ascii="Arial" w:hAnsi="Arial" w:cs="Arial"/>
          <w:color w:val="222222"/>
          <w:shd w:val="clear" w:color="auto" w:fill="FFFFFF"/>
          <w:lang w:val="es-MX"/>
        </w:rPr>
        <w:t>emediación.</w:t>
      </w:r>
      <w:r w:rsidRPr="004F02CD">
        <w:rPr>
          <w:rFonts w:ascii="Arial" w:hAnsi="Arial" w:cs="Arial"/>
          <w:color w:val="222222"/>
          <w:lang w:val="es-MX"/>
        </w:rPr>
        <w:br/>
      </w:r>
      <w:r w:rsidRPr="004F02CD">
        <w:rPr>
          <w:rFonts w:ascii="Arial" w:hAnsi="Arial" w:cs="Arial"/>
          <w:color w:val="222222"/>
          <w:shd w:val="clear" w:color="auto" w:fill="FFFFFF"/>
          <w:lang w:val="es-MX"/>
        </w:rPr>
        <w:t>La reparación deberá llevarse a cabo en el lugar en el que fue producido el daño.</w:t>
      </w:r>
      <w:r w:rsidRPr="004F02CD">
        <w:rPr>
          <w:rFonts w:ascii="Arial" w:hAnsi="Arial" w:cs="Arial"/>
          <w:color w:val="222222"/>
          <w:lang w:val="es-MX"/>
        </w:rPr>
        <w:br/>
      </w:r>
      <w:r w:rsidRPr="004F02CD">
        <w:rPr>
          <w:rFonts w:ascii="Arial" w:hAnsi="Arial" w:cs="Arial"/>
          <w:color w:val="222222"/>
          <w:shd w:val="clear" w:color="auto" w:fill="FFFFFF"/>
          <w:lang w:val="es-MX"/>
        </w:rPr>
        <w:t>Los propietarios o poseedores de los inmuebles en los que se haya ocasionado un daño al ambiente,</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deberán permitir su reparación, de conformidad a esta Ley.</w:t>
      </w:r>
    </w:p>
    <w:p w14:paraId="04E5EF15" w14:textId="2A599296" w:rsidR="007B2483" w:rsidRPr="004F02CD" w:rsidRDefault="006405B6" w:rsidP="006505AA">
      <w:pPr>
        <w:spacing w:line="360" w:lineRule="auto"/>
        <w:rPr>
          <w:rFonts w:ascii="Arial" w:hAnsi="Arial" w:cs="Arial"/>
          <w:bCs/>
          <w:lang w:val="es-MX"/>
        </w:rPr>
      </w:pPr>
      <w:r w:rsidRPr="004F02CD">
        <w:rPr>
          <w:rFonts w:ascii="Arial" w:hAnsi="Arial" w:cs="Arial"/>
          <w:color w:val="222222"/>
          <w:shd w:val="clear" w:color="auto" w:fill="FFFFFF"/>
          <w:lang w:val="es-MX"/>
        </w:rPr>
        <w:t>El incumplimiento a dicha obligación dará</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lugar a la imposición de medios de apremio y a la responsabilidad penal que corresponda.</w:t>
      </w:r>
      <w:r w:rsidRPr="004F02CD">
        <w:rPr>
          <w:rFonts w:ascii="Arial" w:hAnsi="Arial" w:cs="Arial"/>
          <w:color w:val="222222"/>
          <w:lang w:val="es-MX"/>
        </w:rPr>
        <w:br/>
      </w:r>
      <w:r w:rsidRPr="004F02CD">
        <w:rPr>
          <w:rFonts w:ascii="Arial" w:hAnsi="Arial" w:cs="Arial"/>
          <w:color w:val="222222"/>
          <w:shd w:val="clear" w:color="auto" w:fill="FFFFFF"/>
          <w:lang w:val="es-MX"/>
        </w:rPr>
        <w:t>Los propietarios y poseedores que resulten afectados por las acciones de reparación del daño al</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ambiente producido por terceros, tendrán derecho de repetir respecto a la persona que resulte</w:t>
      </w:r>
      <w:r w:rsidR="006505AA" w:rsidRPr="004F02CD">
        <w:rPr>
          <w:rFonts w:ascii="Arial" w:hAnsi="Arial" w:cs="Arial"/>
          <w:color w:val="222222"/>
          <w:shd w:val="clear" w:color="auto" w:fill="FFFFFF"/>
          <w:lang w:val="es-MX"/>
        </w:rPr>
        <w:t xml:space="preserve"> </w:t>
      </w:r>
      <w:r w:rsidRPr="004F02CD">
        <w:rPr>
          <w:rFonts w:ascii="Arial" w:hAnsi="Arial" w:cs="Arial"/>
          <w:color w:val="222222"/>
          <w:shd w:val="clear" w:color="auto" w:fill="FFFFFF"/>
          <w:lang w:val="es-MX"/>
        </w:rPr>
        <w:t>responsable por los daños y perjuicios que se les ocasionen</w:t>
      </w:r>
      <w:r w:rsidR="001E56E7">
        <w:rPr>
          <w:rFonts w:ascii="Arial" w:hAnsi="Arial" w:cs="Arial"/>
          <w:color w:val="222222"/>
          <w:shd w:val="clear" w:color="auto" w:fill="FFFFFF"/>
          <w:lang w:val="es-MX"/>
        </w:rPr>
        <w:t>.</w:t>
      </w:r>
    </w:p>
    <w:p w14:paraId="0411A85D" w14:textId="77777777" w:rsidR="007B2483" w:rsidRDefault="007B2483" w:rsidP="006405B6">
      <w:pPr>
        <w:spacing w:line="360" w:lineRule="auto"/>
        <w:rPr>
          <w:rFonts w:ascii="Arial" w:hAnsi="Arial" w:cs="Arial"/>
          <w:bCs/>
          <w:lang w:val="es-MX"/>
        </w:rPr>
      </w:pPr>
    </w:p>
    <w:p w14:paraId="34749FF3" w14:textId="77777777" w:rsidR="0064552E" w:rsidRPr="004F02CD" w:rsidRDefault="0064552E" w:rsidP="006405B6">
      <w:pPr>
        <w:spacing w:line="360" w:lineRule="auto"/>
        <w:rPr>
          <w:rFonts w:ascii="Arial" w:hAnsi="Arial" w:cs="Arial"/>
          <w:bCs/>
          <w:lang w:val="es-MX"/>
        </w:rPr>
      </w:pPr>
    </w:p>
    <w:p w14:paraId="7928EE89" w14:textId="77777777" w:rsidR="007B2483" w:rsidRPr="004F02CD" w:rsidRDefault="0004040E" w:rsidP="006505AA">
      <w:pPr>
        <w:spacing w:line="360" w:lineRule="auto"/>
        <w:jc w:val="both"/>
        <w:rPr>
          <w:rFonts w:ascii="Arial" w:hAnsi="Arial" w:cs="Arial"/>
          <w:bCs/>
          <w:lang w:val="es-MX"/>
        </w:rPr>
      </w:pPr>
      <w:r>
        <w:rPr>
          <w:rFonts w:ascii="Arial" w:hAnsi="Arial" w:cs="Arial"/>
          <w:bCs/>
          <w:lang w:val="es-MX"/>
        </w:rPr>
        <w:lastRenderedPageBreak/>
        <w:t>P</w:t>
      </w:r>
      <w:r w:rsidR="007B2483" w:rsidRPr="004F02CD">
        <w:rPr>
          <w:rFonts w:ascii="Arial" w:hAnsi="Arial" w:cs="Arial"/>
          <w:bCs/>
          <w:lang w:val="es-MX"/>
        </w:rPr>
        <w:t xml:space="preserve">or lo anterior es que </w:t>
      </w:r>
      <w:r w:rsidR="006505AA" w:rsidRPr="004F02CD">
        <w:rPr>
          <w:rFonts w:ascii="Arial" w:hAnsi="Arial" w:cs="Arial"/>
          <w:bCs/>
          <w:lang w:val="es-MX"/>
        </w:rPr>
        <w:t xml:space="preserve">este H. Congreso acuerda la siguiente: </w:t>
      </w:r>
    </w:p>
    <w:p w14:paraId="325405FE" w14:textId="77777777" w:rsidR="0013387E" w:rsidRPr="0004040E" w:rsidRDefault="0013387E">
      <w:pPr>
        <w:pStyle w:val="CuerpoAA"/>
        <w:spacing w:after="0" w:line="360" w:lineRule="auto"/>
        <w:jc w:val="center"/>
        <w:rPr>
          <w:rStyle w:val="Ninguno"/>
          <w:rFonts w:ascii="Arial" w:hAnsi="Arial" w:cs="Arial"/>
          <w:b/>
          <w:bCs/>
          <w:sz w:val="24"/>
          <w:szCs w:val="24"/>
          <w:lang w:val="es-MX"/>
        </w:rPr>
      </w:pPr>
    </w:p>
    <w:p w14:paraId="5C769D70" w14:textId="77777777" w:rsidR="0013387E" w:rsidRPr="004F02CD" w:rsidRDefault="0064552E">
      <w:pPr>
        <w:pStyle w:val="CuerpoAA"/>
        <w:spacing w:after="0" w:line="360" w:lineRule="auto"/>
        <w:jc w:val="center"/>
        <w:rPr>
          <w:rStyle w:val="Ninguno"/>
          <w:rFonts w:ascii="Arial" w:hAnsi="Arial" w:cs="Arial"/>
          <w:b/>
          <w:bCs/>
          <w:sz w:val="24"/>
          <w:szCs w:val="24"/>
        </w:rPr>
      </w:pPr>
      <w:r>
        <w:rPr>
          <w:rStyle w:val="Ninguno"/>
          <w:rFonts w:ascii="Arial" w:hAnsi="Arial" w:cs="Arial"/>
          <w:b/>
          <w:bCs/>
          <w:sz w:val="24"/>
          <w:szCs w:val="24"/>
        </w:rPr>
        <w:t>P</w:t>
      </w:r>
      <w:r w:rsidR="00F55A15" w:rsidRPr="004F02CD">
        <w:rPr>
          <w:rStyle w:val="Ninguno"/>
          <w:rFonts w:ascii="Arial" w:hAnsi="Arial" w:cs="Arial"/>
          <w:b/>
          <w:bCs/>
          <w:sz w:val="24"/>
          <w:szCs w:val="24"/>
        </w:rPr>
        <w:t>roposición con carácter de:</w:t>
      </w:r>
    </w:p>
    <w:p w14:paraId="4D82CC6B" w14:textId="77777777" w:rsidR="0013387E" w:rsidRPr="004F02CD" w:rsidRDefault="00F55A15">
      <w:pPr>
        <w:pStyle w:val="CuerpoAA"/>
        <w:spacing w:after="0" w:line="360" w:lineRule="auto"/>
        <w:jc w:val="center"/>
        <w:rPr>
          <w:rStyle w:val="Ninguno"/>
          <w:rFonts w:ascii="Arial" w:hAnsi="Arial" w:cs="Arial"/>
          <w:b/>
          <w:bCs/>
          <w:sz w:val="24"/>
          <w:szCs w:val="24"/>
        </w:rPr>
      </w:pPr>
      <w:r w:rsidRPr="004F02CD">
        <w:rPr>
          <w:rStyle w:val="Ninguno"/>
          <w:rFonts w:ascii="Arial" w:hAnsi="Arial" w:cs="Arial"/>
          <w:b/>
          <w:bCs/>
          <w:sz w:val="24"/>
          <w:szCs w:val="24"/>
        </w:rPr>
        <w:t>PUNTO DE ACUERDO:</w:t>
      </w:r>
    </w:p>
    <w:p w14:paraId="2DE912F1" w14:textId="77777777" w:rsidR="006505AA" w:rsidRPr="004F02CD" w:rsidRDefault="006505AA">
      <w:pPr>
        <w:pStyle w:val="CuerpoB"/>
        <w:spacing w:after="160" w:line="360" w:lineRule="auto"/>
        <w:jc w:val="both"/>
        <w:rPr>
          <w:rStyle w:val="Ninguno"/>
          <w:rFonts w:ascii="Arial" w:hAnsi="Arial" w:cs="Arial"/>
          <w:b/>
          <w:bCs/>
        </w:rPr>
      </w:pPr>
      <w:r w:rsidRPr="004F02CD">
        <w:rPr>
          <w:rStyle w:val="Ninguno"/>
          <w:rFonts w:ascii="Arial" w:hAnsi="Arial" w:cs="Arial"/>
          <w:b/>
          <w:bCs/>
        </w:rPr>
        <w:t>UNICO. –  La Sexagésima Octava</w:t>
      </w:r>
      <w:r w:rsidR="00F55A15" w:rsidRPr="004F02CD">
        <w:rPr>
          <w:rStyle w:val="Ninguno"/>
          <w:rFonts w:ascii="Arial" w:hAnsi="Arial" w:cs="Arial"/>
          <w:b/>
          <w:bCs/>
        </w:rPr>
        <w:t xml:space="preserve"> Legislatura del H. Congreso del Estado de Chihuahua, exhorta</w:t>
      </w:r>
      <w:r w:rsidR="00F55A15" w:rsidRPr="004F02CD">
        <w:rPr>
          <w:rStyle w:val="Ninguno"/>
          <w:rFonts w:ascii="Arial" w:hAnsi="Arial" w:cs="Arial"/>
        </w:rPr>
        <w:t xml:space="preserve"> </w:t>
      </w:r>
      <w:r w:rsidR="00F55A15" w:rsidRPr="004F02CD">
        <w:rPr>
          <w:rStyle w:val="Ninguno"/>
          <w:rFonts w:ascii="Arial" w:hAnsi="Arial" w:cs="Arial"/>
          <w:b/>
          <w:bCs/>
        </w:rPr>
        <w:t>a</w:t>
      </w:r>
      <w:r w:rsidRPr="004F02CD">
        <w:rPr>
          <w:rStyle w:val="Ninguno"/>
          <w:rFonts w:ascii="Arial" w:hAnsi="Arial" w:cs="Arial"/>
          <w:b/>
          <w:bCs/>
        </w:rPr>
        <w:t>:</w:t>
      </w:r>
    </w:p>
    <w:p w14:paraId="61887ADF" w14:textId="77777777" w:rsidR="006505AA" w:rsidRPr="004F02CD" w:rsidRDefault="006505AA" w:rsidP="006505AA">
      <w:pPr>
        <w:spacing w:line="360" w:lineRule="auto"/>
        <w:jc w:val="both"/>
        <w:rPr>
          <w:rFonts w:ascii="Arial" w:hAnsi="Arial" w:cs="Arial"/>
          <w:b/>
          <w:bCs/>
          <w:lang w:val="es-MX"/>
        </w:rPr>
      </w:pPr>
      <w:r w:rsidRPr="004F02CD">
        <w:rPr>
          <w:rFonts w:ascii="Arial" w:hAnsi="Arial" w:cs="Arial"/>
          <w:b/>
          <w:bCs/>
          <w:lang w:val="es-MX"/>
        </w:rPr>
        <w:t>Procuraduría Federal de Protección al Medio Ambiente (PROFEPA)</w:t>
      </w:r>
    </w:p>
    <w:p w14:paraId="4BDE9640" w14:textId="77777777" w:rsidR="006505AA" w:rsidRPr="004F02CD" w:rsidRDefault="006505AA" w:rsidP="006505AA">
      <w:pPr>
        <w:spacing w:line="360" w:lineRule="auto"/>
        <w:jc w:val="both"/>
        <w:rPr>
          <w:rFonts w:ascii="Arial" w:hAnsi="Arial" w:cs="Arial"/>
          <w:b/>
          <w:bCs/>
          <w:lang w:val="es-MX"/>
        </w:rPr>
      </w:pPr>
      <w:r w:rsidRPr="004F02CD">
        <w:rPr>
          <w:rFonts w:ascii="Arial" w:hAnsi="Arial" w:cs="Arial"/>
          <w:b/>
          <w:bCs/>
          <w:lang w:val="es-MX"/>
        </w:rPr>
        <w:t>Secretaria de Medio Ambiente y Recursos Naturales (SEMARNAT)</w:t>
      </w:r>
    </w:p>
    <w:p w14:paraId="3536FBE7" w14:textId="77777777" w:rsidR="006505AA" w:rsidRPr="004F02CD" w:rsidRDefault="006505AA" w:rsidP="006505AA">
      <w:pPr>
        <w:spacing w:line="360" w:lineRule="auto"/>
        <w:jc w:val="both"/>
        <w:rPr>
          <w:rFonts w:ascii="Arial" w:hAnsi="Arial" w:cs="Arial"/>
          <w:b/>
          <w:bCs/>
          <w:lang w:val="es-MX"/>
        </w:rPr>
      </w:pPr>
      <w:r w:rsidRPr="004F02CD">
        <w:rPr>
          <w:rFonts w:ascii="Arial" w:hAnsi="Arial" w:cs="Arial"/>
          <w:b/>
          <w:bCs/>
          <w:lang w:val="es-MX"/>
        </w:rPr>
        <w:t>Comisión Nacional para el Conocimiento y Uso de Biodiversidad (CONABIO)</w:t>
      </w:r>
    </w:p>
    <w:p w14:paraId="196AA0EA" w14:textId="77777777" w:rsidR="0013387E" w:rsidRPr="004F02CD" w:rsidRDefault="006505AA">
      <w:pPr>
        <w:pStyle w:val="CuerpoB"/>
        <w:spacing w:after="160" w:line="360" w:lineRule="auto"/>
        <w:jc w:val="both"/>
        <w:rPr>
          <w:rStyle w:val="Ninguno"/>
          <w:rFonts w:ascii="Arial" w:eastAsia="Century Gothic" w:hAnsi="Arial" w:cs="Arial"/>
          <w:b/>
          <w:bCs/>
        </w:rPr>
      </w:pPr>
      <w:r w:rsidRPr="004F02CD">
        <w:rPr>
          <w:rStyle w:val="Ninguno"/>
          <w:rFonts w:ascii="Arial" w:eastAsia="Century Gothic" w:hAnsi="Arial" w:cs="Arial"/>
          <w:b/>
          <w:bCs/>
        </w:rPr>
        <w:t>Comisión Nacional del Agua</w:t>
      </w:r>
    </w:p>
    <w:p w14:paraId="2AABFC3D" w14:textId="6153D4F3" w:rsidR="006505AA" w:rsidRPr="004F02CD" w:rsidRDefault="006505AA">
      <w:pPr>
        <w:pStyle w:val="CuerpoB"/>
        <w:spacing w:after="160" w:line="360" w:lineRule="auto"/>
        <w:jc w:val="both"/>
        <w:rPr>
          <w:rStyle w:val="Ninguno"/>
          <w:rFonts w:ascii="Arial" w:eastAsia="Century Gothic" w:hAnsi="Arial" w:cs="Arial"/>
          <w:b/>
          <w:bCs/>
        </w:rPr>
      </w:pPr>
      <w:r w:rsidRPr="004F02CD">
        <w:rPr>
          <w:rStyle w:val="Ninguno"/>
          <w:rFonts w:ascii="Arial" w:eastAsia="Century Gothic" w:hAnsi="Arial" w:cs="Arial"/>
          <w:b/>
          <w:bCs/>
        </w:rPr>
        <w:t>Que infor</w:t>
      </w:r>
      <w:r w:rsidR="004F02CD">
        <w:rPr>
          <w:rStyle w:val="Ninguno"/>
          <w:rFonts w:ascii="Arial" w:eastAsia="Century Gothic" w:hAnsi="Arial" w:cs="Arial"/>
          <w:b/>
          <w:bCs/>
        </w:rPr>
        <w:t>men a este Congreso el status</w:t>
      </w:r>
      <w:r w:rsidRPr="004F02CD">
        <w:rPr>
          <w:rStyle w:val="Ninguno"/>
          <w:rFonts w:ascii="Arial" w:eastAsia="Century Gothic" w:hAnsi="Arial" w:cs="Arial"/>
          <w:b/>
          <w:bCs/>
        </w:rPr>
        <w:t xml:space="preserve"> que guarda: “El estudio de Caracterización” de la magnitud del derrame y contaminación </w:t>
      </w:r>
      <w:r w:rsidR="003A2764" w:rsidRPr="004F02CD">
        <w:rPr>
          <w:rStyle w:val="Ninguno"/>
          <w:rFonts w:ascii="Arial" w:eastAsia="Century Gothic" w:hAnsi="Arial" w:cs="Arial"/>
          <w:b/>
          <w:bCs/>
        </w:rPr>
        <w:t>así</w:t>
      </w:r>
      <w:r w:rsidRPr="004F02CD">
        <w:rPr>
          <w:rStyle w:val="Ninguno"/>
          <w:rFonts w:ascii="Arial" w:eastAsia="Century Gothic" w:hAnsi="Arial" w:cs="Arial"/>
          <w:b/>
          <w:bCs/>
        </w:rPr>
        <w:t xml:space="preserve"> como “El Programa de Remediación de la Reparación de Daños” en la contaminación ambiental </w:t>
      </w:r>
      <w:r w:rsidR="004F02CD">
        <w:rPr>
          <w:rStyle w:val="Ninguno"/>
          <w:rFonts w:ascii="Arial" w:eastAsia="Century Gothic" w:hAnsi="Arial" w:cs="Arial"/>
          <w:b/>
          <w:bCs/>
        </w:rPr>
        <w:t xml:space="preserve">ocasionado por Ferromex y </w:t>
      </w:r>
      <w:r w:rsidRPr="004F02CD">
        <w:rPr>
          <w:rStyle w:val="Ninguno"/>
          <w:rFonts w:ascii="Arial" w:eastAsia="Century Gothic" w:hAnsi="Arial" w:cs="Arial"/>
          <w:b/>
          <w:bCs/>
        </w:rPr>
        <w:t xml:space="preserve">que este exhorto nos ocupa, con fundamento en la Ley </w:t>
      </w:r>
      <w:proofErr w:type="gramStart"/>
      <w:r w:rsidR="003A2764">
        <w:rPr>
          <w:rStyle w:val="Ninguno"/>
          <w:rFonts w:ascii="Arial" w:eastAsia="Century Gothic" w:hAnsi="Arial" w:cs="Arial"/>
          <w:b/>
          <w:bCs/>
        </w:rPr>
        <w:t>F</w:t>
      </w:r>
      <w:r w:rsidRPr="004F02CD">
        <w:rPr>
          <w:rStyle w:val="Ninguno"/>
          <w:rFonts w:ascii="Arial" w:eastAsia="Century Gothic" w:hAnsi="Arial" w:cs="Arial"/>
          <w:b/>
          <w:bCs/>
        </w:rPr>
        <w:t>ederal  de</w:t>
      </w:r>
      <w:proofErr w:type="gramEnd"/>
      <w:r w:rsidRPr="004F02CD">
        <w:rPr>
          <w:rStyle w:val="Ninguno"/>
          <w:rFonts w:ascii="Arial" w:eastAsia="Century Gothic" w:hAnsi="Arial" w:cs="Arial"/>
          <w:b/>
          <w:bCs/>
        </w:rPr>
        <w:t xml:space="preserve"> Responsabilidad Ambiental.</w:t>
      </w:r>
    </w:p>
    <w:p w14:paraId="22F871B9" w14:textId="77777777" w:rsidR="006505AA" w:rsidRPr="004F02CD" w:rsidRDefault="006505AA">
      <w:pPr>
        <w:pStyle w:val="CuerpoB"/>
        <w:spacing w:after="160" w:line="360" w:lineRule="auto"/>
        <w:jc w:val="both"/>
        <w:rPr>
          <w:rStyle w:val="Ninguno"/>
          <w:rFonts w:ascii="Arial" w:eastAsia="Century Gothic" w:hAnsi="Arial" w:cs="Arial"/>
          <w:b/>
          <w:bCs/>
        </w:rPr>
      </w:pPr>
    </w:p>
    <w:p w14:paraId="302F9D93" w14:textId="490D493F" w:rsidR="0013387E" w:rsidRPr="004F02CD" w:rsidRDefault="00F55A15">
      <w:pPr>
        <w:pStyle w:val="CuerpoB"/>
        <w:spacing w:after="160" w:line="360" w:lineRule="auto"/>
        <w:jc w:val="both"/>
        <w:rPr>
          <w:rStyle w:val="Ninguno"/>
          <w:rFonts w:ascii="Arial" w:hAnsi="Arial" w:cs="Arial"/>
        </w:rPr>
      </w:pPr>
      <w:r w:rsidRPr="004F02CD">
        <w:rPr>
          <w:rStyle w:val="Ninguno"/>
          <w:rFonts w:ascii="Arial" w:hAnsi="Arial" w:cs="Arial"/>
        </w:rPr>
        <w:t>D A D O en el recinto oficial</w:t>
      </w:r>
      <w:r w:rsidR="004F02CD" w:rsidRPr="004F02CD">
        <w:rPr>
          <w:rStyle w:val="Ninguno"/>
          <w:rFonts w:ascii="Arial" w:hAnsi="Arial" w:cs="Arial"/>
        </w:rPr>
        <w:t xml:space="preserve"> del Poder Legislativo, a los </w:t>
      </w:r>
      <w:r w:rsidR="003A2764">
        <w:rPr>
          <w:rStyle w:val="Ninguno"/>
          <w:rFonts w:ascii="Arial" w:hAnsi="Arial" w:cs="Arial"/>
        </w:rPr>
        <w:t>tres</w:t>
      </w:r>
      <w:r w:rsidRPr="004F02CD">
        <w:rPr>
          <w:rStyle w:val="Ninguno"/>
          <w:rFonts w:ascii="Arial" w:hAnsi="Arial" w:cs="Arial"/>
        </w:rPr>
        <w:t xml:space="preserve"> días del mes de </w:t>
      </w:r>
      <w:r w:rsidR="003A2764">
        <w:rPr>
          <w:rStyle w:val="Ninguno"/>
          <w:rFonts w:ascii="Arial" w:hAnsi="Arial" w:cs="Arial"/>
        </w:rPr>
        <w:t>octubre</w:t>
      </w:r>
      <w:r w:rsidR="004F02CD" w:rsidRPr="004F02CD">
        <w:rPr>
          <w:rStyle w:val="Ninguno"/>
          <w:rFonts w:ascii="Arial" w:hAnsi="Arial" w:cs="Arial"/>
        </w:rPr>
        <w:t xml:space="preserve"> de dos mil veinticuatro</w:t>
      </w:r>
      <w:r w:rsidRPr="004F02CD">
        <w:rPr>
          <w:rStyle w:val="Ninguno"/>
          <w:rFonts w:ascii="Arial" w:hAnsi="Arial" w:cs="Arial"/>
        </w:rPr>
        <w:t>.</w:t>
      </w:r>
    </w:p>
    <w:p w14:paraId="42426BE7" w14:textId="77777777" w:rsidR="004F02CD" w:rsidRPr="004F02CD" w:rsidRDefault="004F02CD">
      <w:pPr>
        <w:pStyle w:val="CuerpoB"/>
        <w:spacing w:after="160" w:line="360" w:lineRule="auto"/>
        <w:jc w:val="both"/>
        <w:rPr>
          <w:rStyle w:val="Ninguno"/>
          <w:rFonts w:ascii="Arial" w:hAnsi="Arial" w:cs="Arial"/>
        </w:rPr>
      </w:pPr>
    </w:p>
    <w:p w14:paraId="5F60B41D" w14:textId="0F3BB109" w:rsidR="003A2764" w:rsidRPr="003A2764" w:rsidRDefault="003A2764" w:rsidP="003A2764">
      <w:pPr>
        <w:spacing w:line="360" w:lineRule="auto"/>
        <w:jc w:val="center"/>
        <w:rPr>
          <w:rFonts w:ascii="Arial" w:eastAsia="DengXian Light" w:hAnsi="Arial" w:cs="Arial"/>
          <w:b/>
          <w:bCs/>
        </w:rPr>
      </w:pPr>
      <w:r>
        <w:rPr>
          <w:rFonts w:ascii="Arial" w:eastAsia="DengXian Light" w:hAnsi="Arial" w:cs="Arial"/>
          <w:b/>
          <w:bCs/>
        </w:rPr>
        <w:t>A</w:t>
      </w:r>
      <w:r w:rsidRPr="003A2764">
        <w:rPr>
          <w:rFonts w:ascii="Arial" w:eastAsia="DengXian Light" w:hAnsi="Arial" w:cs="Arial"/>
          <w:b/>
          <w:bCs/>
        </w:rPr>
        <w:t>TENTAMENTE.</w:t>
      </w:r>
    </w:p>
    <w:p w14:paraId="1BEAB420" w14:textId="77777777" w:rsidR="003A2764" w:rsidRPr="003A2764" w:rsidRDefault="003A2764" w:rsidP="003A2764">
      <w:pPr>
        <w:jc w:val="center"/>
        <w:rPr>
          <w:rFonts w:ascii="Arial" w:eastAsia="Times New Roman" w:hAnsi="Arial" w:cs="Arial"/>
          <w:color w:val="000000"/>
          <w:lang w:eastAsia="es-MX"/>
        </w:rPr>
      </w:pPr>
      <w:r w:rsidRPr="003A2764">
        <w:rPr>
          <w:rFonts w:ascii="Arial" w:eastAsia="DengXian Light" w:hAnsi="Arial" w:cs="Arial"/>
          <w:b/>
          <w:bCs/>
        </w:rPr>
        <w:t>POR EL GRUPO PARLAMENTARIO DEL PARTIDO DE MORENA</w:t>
      </w:r>
    </w:p>
    <w:p w14:paraId="160CDF35" w14:textId="77777777" w:rsidR="003A2764" w:rsidRPr="003A2764" w:rsidRDefault="003A2764" w:rsidP="003A2764">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t xml:space="preserve">                         </w:t>
      </w:r>
    </w:p>
    <w:p w14:paraId="06DBB4D9" w14:textId="77777777" w:rsidR="003A2764" w:rsidRPr="003A2764" w:rsidRDefault="003A2764" w:rsidP="003A2764">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DIP. MARÍA ANTONIETA PÉREZ REYES</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3A2764" w:rsidRPr="003A2764" w14:paraId="1AE4B49D" w14:textId="77777777" w:rsidTr="00ED07D6">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5B58BF9" w14:textId="77777777" w:rsidR="003A2764" w:rsidRPr="003A2764" w:rsidRDefault="003A2764" w:rsidP="00ED07D6">
            <w:pPr>
              <w:rPr>
                <w:rFonts w:ascii="Arial" w:eastAsia="Century Gothic" w:hAnsi="Arial" w:cs="Arial"/>
                <w:b/>
                <w:shd w:val="clear" w:color="auto" w:fill="FEFFFF"/>
              </w:rPr>
            </w:pP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p>
          <w:p w14:paraId="10C7B091" w14:textId="77777777" w:rsidR="003A2764" w:rsidRPr="003A2764" w:rsidRDefault="003A2764" w:rsidP="00ED07D6">
            <w:pPr>
              <w:rPr>
                <w:rFonts w:ascii="Arial" w:eastAsia="Century Gothic" w:hAnsi="Arial" w:cs="Arial"/>
                <w:b/>
                <w:shd w:val="clear" w:color="auto" w:fill="FEFFFF"/>
              </w:rPr>
            </w:pPr>
          </w:p>
          <w:p w14:paraId="23775C7C" w14:textId="77777777" w:rsidR="003A2764" w:rsidRDefault="003A2764" w:rsidP="003A2764">
            <w:pPr>
              <w:jc w:val="center"/>
              <w:rPr>
                <w:rFonts w:ascii="Arial" w:eastAsia="Century Gothic" w:hAnsi="Arial" w:cs="Arial"/>
                <w:b/>
                <w:shd w:val="clear" w:color="auto" w:fill="FEFFFF"/>
              </w:rPr>
            </w:pPr>
          </w:p>
          <w:p w14:paraId="1E4B86E5" w14:textId="77777777" w:rsidR="003A2764" w:rsidRDefault="003A2764" w:rsidP="003A2764">
            <w:pPr>
              <w:jc w:val="center"/>
              <w:rPr>
                <w:rFonts w:ascii="Arial" w:eastAsia="Century Gothic" w:hAnsi="Arial" w:cs="Arial"/>
                <w:b/>
                <w:shd w:val="clear" w:color="auto" w:fill="FEFFFF"/>
              </w:rPr>
            </w:pPr>
          </w:p>
          <w:p w14:paraId="7B9FC305" w14:textId="77777777" w:rsidR="003A2764" w:rsidRDefault="003A2764" w:rsidP="003A2764">
            <w:pPr>
              <w:jc w:val="center"/>
              <w:rPr>
                <w:rFonts w:ascii="Arial" w:eastAsia="Century Gothic" w:hAnsi="Arial" w:cs="Arial"/>
                <w:b/>
                <w:shd w:val="clear" w:color="auto" w:fill="FEFFFF"/>
              </w:rPr>
            </w:pPr>
          </w:p>
          <w:p w14:paraId="77332C52" w14:textId="77777777" w:rsidR="003A2764" w:rsidRDefault="003A2764" w:rsidP="003A2764">
            <w:pPr>
              <w:jc w:val="center"/>
              <w:rPr>
                <w:rFonts w:ascii="Arial" w:eastAsia="Century Gothic" w:hAnsi="Arial" w:cs="Arial"/>
                <w:b/>
                <w:shd w:val="clear" w:color="auto" w:fill="FEFFFF"/>
              </w:rPr>
            </w:pPr>
          </w:p>
          <w:p w14:paraId="64FC28F3" w14:textId="77777777" w:rsidR="003A2764" w:rsidRDefault="003A2764" w:rsidP="003A2764">
            <w:pPr>
              <w:jc w:val="center"/>
              <w:rPr>
                <w:rFonts w:ascii="Arial" w:eastAsia="Century Gothic" w:hAnsi="Arial" w:cs="Arial"/>
                <w:b/>
                <w:shd w:val="clear" w:color="auto" w:fill="FEFFFF"/>
              </w:rPr>
            </w:pPr>
          </w:p>
          <w:p w14:paraId="0C5415FA" w14:textId="77777777" w:rsidR="003A2764" w:rsidRDefault="003A2764" w:rsidP="003A2764">
            <w:pPr>
              <w:jc w:val="center"/>
              <w:rPr>
                <w:rFonts w:ascii="Arial" w:eastAsia="Century Gothic" w:hAnsi="Arial" w:cs="Arial"/>
                <w:b/>
                <w:shd w:val="clear" w:color="auto" w:fill="FEFFFF"/>
              </w:rPr>
            </w:pPr>
          </w:p>
          <w:p w14:paraId="433B0460" w14:textId="77777777" w:rsidR="00E96217" w:rsidRDefault="00E96217" w:rsidP="003A2764">
            <w:pPr>
              <w:jc w:val="center"/>
              <w:rPr>
                <w:rFonts w:ascii="Arial" w:eastAsia="Century Gothic" w:hAnsi="Arial" w:cs="Arial"/>
                <w:b/>
                <w:shd w:val="clear" w:color="auto" w:fill="FEFFFF"/>
              </w:rPr>
            </w:pPr>
          </w:p>
          <w:p w14:paraId="57CD6DBC" w14:textId="7BDC0865" w:rsidR="003A2764" w:rsidRPr="003A2764" w:rsidRDefault="003A2764" w:rsidP="003A2764">
            <w:pPr>
              <w:jc w:val="center"/>
              <w:rPr>
                <w:rFonts w:ascii="Arial" w:eastAsia="Century Gothic" w:hAnsi="Arial" w:cs="Arial"/>
              </w:rPr>
            </w:pPr>
            <w:r w:rsidRPr="003A2764">
              <w:rPr>
                <w:rFonts w:ascii="Arial" w:eastAsia="Century Gothic" w:hAnsi="Arial" w:cs="Arial"/>
                <w:b/>
                <w:shd w:val="clear" w:color="auto" w:fill="FEFFFF"/>
              </w:rPr>
              <w:t>DIP. EDÍN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2ECC9A05" w14:textId="77777777" w:rsidR="003A2764" w:rsidRDefault="003A2764" w:rsidP="00ED07D6">
            <w:pPr>
              <w:spacing w:before="240" w:after="120" w:line="360" w:lineRule="auto"/>
              <w:jc w:val="center"/>
              <w:rPr>
                <w:rFonts w:ascii="Arial" w:eastAsia="Century Gothic" w:hAnsi="Arial" w:cs="Arial"/>
                <w:b/>
                <w:shd w:val="clear" w:color="auto" w:fill="FEFFFF"/>
              </w:rPr>
            </w:pPr>
          </w:p>
          <w:p w14:paraId="5D185D00" w14:textId="77777777" w:rsidR="003A2764" w:rsidRDefault="003A2764" w:rsidP="00ED07D6">
            <w:pPr>
              <w:spacing w:before="240" w:after="120" w:line="360" w:lineRule="auto"/>
              <w:jc w:val="center"/>
              <w:rPr>
                <w:rFonts w:ascii="Arial" w:eastAsia="Century Gothic" w:hAnsi="Arial" w:cs="Arial"/>
                <w:b/>
                <w:shd w:val="clear" w:color="auto" w:fill="FEFFFF"/>
              </w:rPr>
            </w:pPr>
          </w:p>
          <w:p w14:paraId="5297F895" w14:textId="77777777" w:rsidR="003A2764" w:rsidRDefault="003A2764" w:rsidP="00ED07D6">
            <w:pPr>
              <w:spacing w:before="240" w:after="120" w:line="360" w:lineRule="auto"/>
              <w:jc w:val="center"/>
              <w:rPr>
                <w:rFonts w:ascii="Arial" w:eastAsia="Century Gothic" w:hAnsi="Arial" w:cs="Arial"/>
                <w:b/>
                <w:shd w:val="clear" w:color="auto" w:fill="FEFFFF"/>
              </w:rPr>
            </w:pPr>
          </w:p>
          <w:p w14:paraId="7FE54DC0" w14:textId="2B284A2A" w:rsidR="003A2764" w:rsidRPr="003A2764" w:rsidRDefault="003A2764" w:rsidP="00ED07D6">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EDITH PALMA ONTIVEROS</w:t>
            </w:r>
          </w:p>
        </w:tc>
      </w:tr>
      <w:tr w:rsidR="003A2764" w:rsidRPr="003A2764" w14:paraId="7CB4B32C" w14:textId="77777777" w:rsidTr="00ED07D6">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2F1BA3C" w14:textId="77777777" w:rsidR="003A2764" w:rsidRPr="003A2764" w:rsidRDefault="003A2764" w:rsidP="00ED07D6">
            <w:pPr>
              <w:spacing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lastRenderedPageBreak/>
              <w:t xml:space="preserve"> </w:t>
            </w:r>
          </w:p>
          <w:p w14:paraId="1E82696A" w14:textId="77777777" w:rsidR="003A2764" w:rsidRPr="003A2764" w:rsidRDefault="003A2764" w:rsidP="003A2764">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DIP. BRENDA FRANCISCA RÍOS PRIETO</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C12C447" w14:textId="77777777" w:rsidR="003A2764" w:rsidRPr="003A2764" w:rsidRDefault="003A2764" w:rsidP="00ED07D6">
            <w:pPr>
              <w:spacing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4700972F" w14:textId="77777777" w:rsidR="003A2764" w:rsidRPr="003A2764" w:rsidRDefault="003A2764" w:rsidP="00ED07D6">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ELIZABETH GUZMAN ARGUETA</w:t>
            </w:r>
          </w:p>
        </w:tc>
      </w:tr>
      <w:tr w:rsidR="003A2764" w:rsidRPr="003A2764" w14:paraId="54C50A9E" w14:textId="77777777" w:rsidTr="00ED07D6">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B4A9BAA" w14:textId="77777777" w:rsidR="003A2764" w:rsidRPr="003A2764" w:rsidRDefault="003A2764" w:rsidP="00ED07D6">
            <w:pPr>
              <w:spacing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3842AC30" w14:textId="3523C9CE" w:rsidR="003A2764" w:rsidRPr="003A2764" w:rsidRDefault="003A2764" w:rsidP="003A2764">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DIP. MAGDALENA RENTERÍA PÉREZ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0D488B3" w14:textId="77777777" w:rsidR="003A2764" w:rsidRPr="003A2764" w:rsidRDefault="003A2764" w:rsidP="00ED07D6">
            <w:pPr>
              <w:spacing w:after="120" w:line="360" w:lineRule="auto"/>
              <w:jc w:val="center"/>
              <w:rPr>
                <w:rFonts w:ascii="Arial" w:eastAsia="Century Gothic" w:hAnsi="Arial" w:cs="Arial"/>
                <w:b/>
                <w:shd w:val="clear" w:color="auto" w:fill="FEFFFF"/>
              </w:rPr>
            </w:pPr>
          </w:p>
          <w:p w14:paraId="248D1E02" w14:textId="77777777" w:rsidR="003A2764" w:rsidRPr="003A2764" w:rsidRDefault="003A2764" w:rsidP="00ED07D6">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DIP. HERMINIA GÓMEZ CARRASCO</w:t>
            </w:r>
          </w:p>
        </w:tc>
      </w:tr>
      <w:tr w:rsidR="003A2764" w:rsidRPr="003A2764" w14:paraId="0E2E47AE" w14:textId="77777777" w:rsidTr="00ED07D6">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6352BB6" w14:textId="77777777" w:rsidR="003A2764" w:rsidRPr="003A2764" w:rsidRDefault="003A2764" w:rsidP="00ED07D6">
            <w:pPr>
              <w:spacing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60DAB690" w14:textId="77777777" w:rsidR="003A2764" w:rsidRPr="003A2764" w:rsidRDefault="003A2764" w:rsidP="00ED07D6">
            <w:pPr>
              <w:spacing w:before="240" w:after="120" w:line="360" w:lineRule="auto"/>
              <w:rPr>
                <w:rFonts w:ascii="Arial" w:eastAsia="Century Gothic" w:hAnsi="Arial" w:cs="Arial"/>
                <w:b/>
                <w:shd w:val="clear" w:color="auto" w:fill="FEFFFF"/>
              </w:rPr>
            </w:pPr>
            <w:r w:rsidRPr="003A2764">
              <w:rPr>
                <w:rFonts w:ascii="Arial" w:eastAsia="Century Gothic" w:hAnsi="Arial" w:cs="Arial"/>
                <w:b/>
                <w:shd w:val="clear" w:color="auto" w:fill="FEFFFF"/>
              </w:rPr>
              <w:t>DIP. LETICIA ORTEGA MAYNEZ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19A9D29" w14:textId="77777777" w:rsidR="003A2764" w:rsidRPr="003A2764" w:rsidRDefault="003A2764" w:rsidP="00ED07D6">
            <w:pPr>
              <w:spacing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638C087B" w14:textId="77777777" w:rsidR="003A2764" w:rsidRPr="003A2764" w:rsidRDefault="003A2764" w:rsidP="00ED07D6">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DIP. ÓSCAR DANIEL AVITIA ARELLANES </w:t>
            </w:r>
          </w:p>
        </w:tc>
      </w:tr>
      <w:tr w:rsidR="003A2764" w:rsidRPr="003A2764" w14:paraId="5CACDFCC" w14:textId="77777777" w:rsidTr="00ED07D6">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0808E64" w14:textId="77777777" w:rsidR="003A2764" w:rsidRPr="003A2764" w:rsidRDefault="003A2764" w:rsidP="00ED07D6">
            <w:pPr>
              <w:spacing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7EE3644C" w14:textId="77777777" w:rsidR="003A2764" w:rsidRPr="003A2764" w:rsidRDefault="003A2764" w:rsidP="00ED07D6">
            <w:pPr>
              <w:spacing w:before="240" w:after="120" w:line="360" w:lineRule="auto"/>
              <w:rPr>
                <w:rFonts w:ascii="Arial" w:eastAsia="Century Gothic" w:hAnsi="Arial" w:cs="Arial"/>
                <w:b/>
                <w:shd w:val="clear" w:color="auto" w:fill="FEFFFF"/>
              </w:rPr>
            </w:pPr>
            <w:r w:rsidRPr="003A2764">
              <w:rPr>
                <w:rFonts w:ascii="Arial" w:eastAsia="Century Gothic" w:hAnsi="Arial" w:cs="Arial"/>
                <w:b/>
                <w:shd w:val="clear" w:color="auto" w:fill="FEFFFF"/>
              </w:rPr>
              <w:t>DIP. JAEL ARGÜELLES DÍAZ</w:t>
            </w:r>
          </w:p>
          <w:p w14:paraId="748BACDF" w14:textId="77777777" w:rsidR="003A2764" w:rsidRPr="003A2764" w:rsidRDefault="003A2764" w:rsidP="00ED07D6">
            <w:pPr>
              <w:ind w:firstLine="708"/>
              <w:rPr>
                <w:rFonts w:ascii="Arial" w:eastAsia="Century Gothic" w:hAnsi="Arial" w:cs="Arial"/>
              </w:rPr>
            </w:pPr>
          </w:p>
          <w:p w14:paraId="2D73CB31" w14:textId="77777777" w:rsidR="003A2764" w:rsidRPr="003A2764" w:rsidRDefault="003A2764" w:rsidP="00ED07D6">
            <w:pPr>
              <w:jc w:val="right"/>
              <w:rPr>
                <w:rFonts w:ascii="Arial" w:eastAsia="Century Gothic" w:hAnsi="Arial" w:cs="Arial"/>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E46EB18" w14:textId="77777777" w:rsidR="003A2764" w:rsidRPr="003A2764" w:rsidRDefault="003A2764" w:rsidP="00ED07D6">
            <w:pPr>
              <w:spacing w:after="120" w:line="360" w:lineRule="auto"/>
              <w:jc w:val="center"/>
              <w:rPr>
                <w:rFonts w:ascii="Arial" w:eastAsia="Century Gothic" w:hAnsi="Arial" w:cs="Arial"/>
                <w:b/>
                <w:shd w:val="clear" w:color="auto" w:fill="FEFFFF"/>
              </w:rPr>
            </w:pPr>
          </w:p>
          <w:p w14:paraId="11B5DED3" w14:textId="77777777" w:rsidR="003A2764" w:rsidRPr="003A2764" w:rsidRDefault="003A2764" w:rsidP="00ED07D6">
            <w:pPr>
              <w:spacing w:before="240" w:after="120" w:line="360" w:lineRule="auto"/>
              <w:rPr>
                <w:rFonts w:ascii="Arial" w:eastAsia="Century Gothic" w:hAnsi="Arial" w:cs="Arial"/>
                <w:b/>
                <w:shd w:val="clear" w:color="auto" w:fill="FEFFFF"/>
              </w:rPr>
            </w:pPr>
            <w:r w:rsidRPr="003A2764">
              <w:rPr>
                <w:rFonts w:ascii="Arial" w:eastAsia="Century Gothic" w:hAnsi="Arial" w:cs="Arial"/>
                <w:b/>
                <w:shd w:val="clear" w:color="auto" w:fill="FEFFFF"/>
              </w:rPr>
              <w:t xml:space="preserve">       DIP. PEDRO TORRES ESTRADA</w:t>
            </w:r>
          </w:p>
          <w:p w14:paraId="0931F5BC" w14:textId="77777777" w:rsidR="003A2764" w:rsidRPr="003A2764" w:rsidRDefault="003A2764" w:rsidP="00ED07D6">
            <w:pPr>
              <w:spacing w:before="240" w:after="240" w:line="360" w:lineRule="auto"/>
              <w:jc w:val="center"/>
              <w:rPr>
                <w:rFonts w:ascii="Arial" w:eastAsia="Century Gothic" w:hAnsi="Arial" w:cs="Arial"/>
                <w:b/>
                <w:shd w:val="clear" w:color="auto" w:fill="FEFFFF"/>
              </w:rPr>
            </w:pPr>
          </w:p>
        </w:tc>
      </w:tr>
      <w:tr w:rsidR="003A2764" w:rsidRPr="002B6F0D" w14:paraId="7DDC0E86" w14:textId="77777777" w:rsidTr="00ED07D6">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F127F48" w14:textId="77777777" w:rsidR="003A2764" w:rsidRPr="003A2764" w:rsidRDefault="003A2764" w:rsidP="00ED07D6">
            <w:pPr>
              <w:spacing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DIP. ROSANA DÍAZ REYES</w:t>
            </w:r>
          </w:p>
          <w:p w14:paraId="33A9D5C2" w14:textId="77777777" w:rsidR="003A2764" w:rsidRDefault="003A2764" w:rsidP="00ED07D6">
            <w:pPr>
              <w:rPr>
                <w:rFonts w:eastAsia="Century Gothic" w:cstheme="minorHAnsi"/>
              </w:rPr>
            </w:pPr>
          </w:p>
          <w:p w14:paraId="157A3CD6" w14:textId="77777777" w:rsidR="003A2764" w:rsidRDefault="003A2764" w:rsidP="00ED07D6">
            <w:pPr>
              <w:rPr>
                <w:rFonts w:eastAsia="Century Gothic" w:cstheme="minorHAnsi"/>
              </w:rPr>
            </w:pPr>
          </w:p>
          <w:p w14:paraId="0D7C8A8D" w14:textId="77777777" w:rsidR="003A2764" w:rsidRPr="009233D3" w:rsidRDefault="003A2764" w:rsidP="00ED07D6">
            <w:pPr>
              <w:rPr>
                <w:rFonts w:eastAsia="Century Gothic" w:cstheme="minorHAnsi"/>
              </w:rPr>
            </w:pPr>
          </w:p>
        </w:tc>
      </w:tr>
    </w:tbl>
    <w:p w14:paraId="521A8B59" w14:textId="77777777" w:rsidR="003A2764" w:rsidRPr="004F02CD" w:rsidRDefault="003A2764">
      <w:pPr>
        <w:pStyle w:val="CuerpoB"/>
        <w:spacing w:after="160" w:line="360" w:lineRule="auto"/>
        <w:jc w:val="both"/>
        <w:rPr>
          <w:rStyle w:val="Ninguno"/>
          <w:rFonts w:ascii="Arial" w:eastAsia="Century Gothic" w:hAnsi="Arial" w:cs="Arial"/>
        </w:rPr>
      </w:pPr>
    </w:p>
    <w:sectPr w:rsidR="003A2764" w:rsidRPr="004F02CD">
      <w:headerReference w:type="default" r:id="rId9"/>
      <w:footerReference w:type="default" r:id="rId10"/>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FB57" w14:textId="77777777" w:rsidR="00A0299D" w:rsidRDefault="00A0299D">
      <w:r>
        <w:separator/>
      </w:r>
    </w:p>
  </w:endnote>
  <w:endnote w:type="continuationSeparator" w:id="0">
    <w:p w14:paraId="3A8E7328" w14:textId="77777777" w:rsidR="00A0299D" w:rsidRDefault="00A0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85507"/>
      <w:docPartObj>
        <w:docPartGallery w:val="Page Numbers (Bottom of Page)"/>
        <w:docPartUnique/>
      </w:docPartObj>
    </w:sdtPr>
    <w:sdtEndPr/>
    <w:sdtContent>
      <w:p w14:paraId="27918B97" w14:textId="73234952" w:rsidR="00A77E7E" w:rsidRDefault="00A77E7E">
        <w:pPr>
          <w:pStyle w:val="Piedepgina"/>
          <w:jc w:val="right"/>
        </w:pPr>
        <w:r>
          <w:fldChar w:fldCharType="begin"/>
        </w:r>
        <w:r>
          <w:instrText>PAGE   \* MERGEFORMAT</w:instrText>
        </w:r>
        <w:r>
          <w:fldChar w:fldCharType="separate"/>
        </w:r>
        <w:r>
          <w:rPr>
            <w:lang w:val="es-ES"/>
          </w:rPr>
          <w:t>2</w:t>
        </w:r>
        <w:r>
          <w:fldChar w:fldCharType="end"/>
        </w:r>
      </w:p>
    </w:sdtContent>
  </w:sdt>
  <w:p w14:paraId="14C66E5E" w14:textId="77777777" w:rsidR="00A77E7E" w:rsidRDefault="00A77E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CE70" w14:textId="77777777" w:rsidR="00A0299D" w:rsidRDefault="00A0299D">
      <w:r>
        <w:separator/>
      </w:r>
    </w:p>
  </w:footnote>
  <w:footnote w:type="continuationSeparator" w:id="0">
    <w:p w14:paraId="0B8787B1" w14:textId="77777777" w:rsidR="00A0299D" w:rsidRDefault="00A0299D">
      <w:r>
        <w:continuationSeparator/>
      </w:r>
    </w:p>
  </w:footnote>
  <w:footnote w:type="continuationNotice" w:id="1">
    <w:p w14:paraId="229AB972" w14:textId="77777777" w:rsidR="00A0299D" w:rsidRDefault="00A02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177E" w14:textId="77777777" w:rsidR="0013387E" w:rsidRDefault="00223F50">
    <w:pPr>
      <w:pStyle w:val="Encabezado"/>
      <w:tabs>
        <w:tab w:val="clear" w:pos="8838"/>
        <w:tab w:val="right" w:pos="8818"/>
      </w:tabs>
      <w:jc w:val="right"/>
      <w:rPr>
        <w:rStyle w:val="Ninguno"/>
        <w:rFonts w:ascii="Century Gothic" w:eastAsia="Century Gothic" w:hAnsi="Century Gothic" w:cs="Century Gothic"/>
        <w:i/>
        <w:iCs/>
        <w:sz w:val="24"/>
        <w:szCs w:val="24"/>
      </w:rPr>
    </w:pPr>
    <w:r>
      <w:rPr>
        <w:rStyle w:val="Ninguno"/>
        <w:rFonts w:ascii="Century Gothic" w:hAnsi="Century Gothic"/>
        <w:i/>
        <w:iCs/>
        <w:sz w:val="24"/>
        <w:szCs w:val="24"/>
      </w:rPr>
      <w:t>“2024</w:t>
    </w:r>
    <w:r w:rsidR="00F55A15">
      <w:rPr>
        <w:rStyle w:val="Ninguno"/>
        <w:rFonts w:ascii="Century Gothic" w:hAnsi="Century Gothic"/>
        <w:i/>
        <w:iCs/>
        <w:sz w:val="24"/>
        <w:szCs w:val="24"/>
      </w:rPr>
      <w:t xml:space="preserve">, </w:t>
    </w:r>
    <w:r>
      <w:rPr>
        <w:rStyle w:val="Ninguno"/>
        <w:rFonts w:ascii="Century Gothic" w:hAnsi="Century Gothic"/>
        <w:i/>
        <w:iCs/>
        <w:sz w:val="24"/>
        <w:szCs w:val="24"/>
      </w:rPr>
      <w:t>Año del Bicentenario de la Fundación del Estado de Chihuahua”</w:t>
    </w:r>
  </w:p>
  <w:p w14:paraId="4D2AFCC3" w14:textId="77777777" w:rsidR="0013387E" w:rsidRPr="00223F50" w:rsidRDefault="00223F50">
    <w:pPr>
      <w:pStyle w:val="Encabezado"/>
      <w:tabs>
        <w:tab w:val="clear" w:pos="8838"/>
        <w:tab w:val="right" w:pos="8818"/>
      </w:tabs>
      <w:jc w:val="right"/>
      <w:rPr>
        <w:b/>
      </w:rPr>
    </w:pPr>
    <w:r w:rsidRPr="00223F50">
      <w:rPr>
        <w:rStyle w:val="Ninguno"/>
        <w:rFonts w:ascii="Century Gothic" w:hAnsi="Century Gothic"/>
        <w:b/>
        <w:iCs/>
        <w:sz w:val="24"/>
        <w:szCs w:val="24"/>
      </w:rPr>
      <w:t>GRUPO PARLAMENTARIO DE MORENA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442"/>
    <w:multiLevelType w:val="multilevel"/>
    <w:tmpl w:val="85F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7061E"/>
    <w:multiLevelType w:val="multilevel"/>
    <w:tmpl w:val="B82E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817E2"/>
    <w:multiLevelType w:val="multilevel"/>
    <w:tmpl w:val="F71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0394E"/>
    <w:multiLevelType w:val="multilevel"/>
    <w:tmpl w:val="3E8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8267B"/>
    <w:multiLevelType w:val="multilevel"/>
    <w:tmpl w:val="FB7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F577D"/>
    <w:multiLevelType w:val="multilevel"/>
    <w:tmpl w:val="3D6E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34722"/>
    <w:multiLevelType w:val="multilevel"/>
    <w:tmpl w:val="672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0A2E39"/>
    <w:multiLevelType w:val="multilevel"/>
    <w:tmpl w:val="D42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7E"/>
    <w:rsid w:val="0004040E"/>
    <w:rsid w:val="0013387E"/>
    <w:rsid w:val="00180630"/>
    <w:rsid w:val="001E56E7"/>
    <w:rsid w:val="00223F50"/>
    <w:rsid w:val="00236C40"/>
    <w:rsid w:val="002F5190"/>
    <w:rsid w:val="003428BE"/>
    <w:rsid w:val="0036590E"/>
    <w:rsid w:val="003A2764"/>
    <w:rsid w:val="00417401"/>
    <w:rsid w:val="004442F1"/>
    <w:rsid w:val="004B19E6"/>
    <w:rsid w:val="004F02CD"/>
    <w:rsid w:val="00524BD4"/>
    <w:rsid w:val="005259FB"/>
    <w:rsid w:val="00603329"/>
    <w:rsid w:val="006405B6"/>
    <w:rsid w:val="0064552E"/>
    <w:rsid w:val="006505AA"/>
    <w:rsid w:val="00691CC2"/>
    <w:rsid w:val="0078746A"/>
    <w:rsid w:val="007B2483"/>
    <w:rsid w:val="008528BB"/>
    <w:rsid w:val="008E04AA"/>
    <w:rsid w:val="00967E00"/>
    <w:rsid w:val="009728C7"/>
    <w:rsid w:val="00A0299D"/>
    <w:rsid w:val="00A53E1F"/>
    <w:rsid w:val="00A55CCC"/>
    <w:rsid w:val="00A77E7E"/>
    <w:rsid w:val="00B54D84"/>
    <w:rsid w:val="00C54EBC"/>
    <w:rsid w:val="00E93AC3"/>
    <w:rsid w:val="00E96217"/>
    <w:rsid w:val="00F55A15"/>
    <w:rsid w:val="00F86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B191"/>
  <w15:docId w15:val="{D01E1B63-9E9B-47BB-B5B3-E20D601C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A"/>
    <w:pPr>
      <w:keepNext/>
      <w:keepLines/>
      <w:spacing w:before="240"/>
      <w:outlineLvl w:val="0"/>
    </w:pPr>
    <w:rPr>
      <w:rFonts w:ascii="Calibri Light" w:eastAsia="Calibri Light" w:hAnsi="Calibri Light" w:cs="Calibri Light"/>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AA">
    <w:name w:val="Cuerpo A A"/>
    <w:pPr>
      <w:spacing w:after="160" w:line="259" w:lineRule="auto"/>
    </w:pPr>
    <w:rPr>
      <w:rFonts w:ascii="Calibri" w:eastAsia="Calibri" w:hAnsi="Calibri" w:cs="Calibri"/>
      <w:color w:val="000000"/>
      <w:sz w:val="22"/>
      <w:szCs w:val="22"/>
      <w:u w:color="000000"/>
      <w:lang w:val="es-ES_tradnl"/>
    </w:rPr>
  </w:style>
  <w:style w:type="paragraph" w:customStyle="1" w:styleId="Poromisin">
    <w:name w:val="Por omisión"/>
    <w:rPr>
      <w:rFonts w:ascii="Helvetica Neue" w:hAnsi="Helvetica Neue" w:cs="Arial Unicode MS"/>
      <w:color w:val="000000"/>
      <w:sz w:val="22"/>
      <w:szCs w:val="22"/>
      <w:lang w:val="es-ES_tradnl"/>
    </w:rPr>
  </w:style>
  <w:style w:type="paragraph" w:customStyle="1" w:styleId="Notaalpie">
    <w:name w:val="Nota al pie"/>
    <w:rPr>
      <w:rFonts w:ascii="Helvetica Neue" w:eastAsia="Helvetica Neue" w:hAnsi="Helvetica Neue" w:cs="Helvetica Neue"/>
      <w:color w:val="000000"/>
      <w:sz w:val="22"/>
      <w:szCs w:val="22"/>
    </w:rPr>
  </w:style>
  <w:style w:type="character" w:customStyle="1" w:styleId="Hyperlink0">
    <w:name w:val="Hyperlink.0"/>
    <w:basedOn w:val="Hipervnculo"/>
    <w:rPr>
      <w:color w:val="0000FF"/>
      <w:u w:val="single" w:color="0000FF"/>
    </w:rPr>
  </w:style>
  <w:style w:type="paragraph" w:customStyle="1" w:styleId="CuerpoB">
    <w:name w:val="Cuerpo B"/>
    <w:rPr>
      <w:rFonts w:cs="Arial Unicode MS"/>
      <w:color w:val="000000"/>
      <w:sz w:val="24"/>
      <w:szCs w:val="24"/>
      <w:u w:color="000000"/>
      <w:lang w:val="es-ES_tradnl"/>
    </w:rPr>
  </w:style>
  <w:style w:type="paragraph" w:customStyle="1" w:styleId="Cuerpo">
    <w:name w:val="Cuerpo"/>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8E0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4AA"/>
    <w:rPr>
      <w:rFonts w:ascii="Segoe UI" w:hAnsi="Segoe UI" w:cs="Segoe UI"/>
      <w:sz w:val="18"/>
      <w:szCs w:val="18"/>
      <w:lang w:val="en-US" w:eastAsia="en-US"/>
    </w:rPr>
  </w:style>
  <w:style w:type="paragraph" w:styleId="Textonotapie">
    <w:name w:val="footnote text"/>
    <w:basedOn w:val="Normal"/>
    <w:link w:val="TextonotapieCar"/>
    <w:uiPriority w:val="99"/>
    <w:semiHidden/>
    <w:unhideWhenUsed/>
    <w:rsid w:val="00180630"/>
    <w:rPr>
      <w:sz w:val="20"/>
      <w:szCs w:val="20"/>
    </w:rPr>
  </w:style>
  <w:style w:type="character" w:customStyle="1" w:styleId="TextonotapieCar">
    <w:name w:val="Texto nota pie Car"/>
    <w:basedOn w:val="Fuentedeprrafopredeter"/>
    <w:link w:val="Textonotapie"/>
    <w:uiPriority w:val="99"/>
    <w:semiHidden/>
    <w:rsid w:val="00180630"/>
    <w:rPr>
      <w:lang w:val="en-US" w:eastAsia="en-US"/>
    </w:rPr>
  </w:style>
  <w:style w:type="character" w:styleId="Refdenotaalpie">
    <w:name w:val="footnote reference"/>
    <w:basedOn w:val="Fuentedeprrafopredeter"/>
    <w:uiPriority w:val="99"/>
    <w:semiHidden/>
    <w:unhideWhenUsed/>
    <w:rsid w:val="00180630"/>
    <w:rPr>
      <w:vertAlign w:val="superscript"/>
    </w:rPr>
  </w:style>
  <w:style w:type="paragraph" w:styleId="Piedepgina">
    <w:name w:val="footer"/>
    <w:basedOn w:val="Normal"/>
    <w:link w:val="PiedepginaCar"/>
    <w:uiPriority w:val="99"/>
    <w:unhideWhenUsed/>
    <w:rsid w:val="00223F50"/>
    <w:pPr>
      <w:tabs>
        <w:tab w:val="center" w:pos="4419"/>
        <w:tab w:val="right" w:pos="8838"/>
      </w:tabs>
    </w:pPr>
  </w:style>
  <w:style w:type="character" w:customStyle="1" w:styleId="PiedepginaCar">
    <w:name w:val="Pie de página Car"/>
    <w:basedOn w:val="Fuentedeprrafopredeter"/>
    <w:link w:val="Piedepgina"/>
    <w:uiPriority w:val="99"/>
    <w:rsid w:val="00223F50"/>
    <w:rPr>
      <w:sz w:val="24"/>
      <w:szCs w:val="24"/>
      <w:lang w:val="en-US" w:eastAsia="en-US"/>
    </w:rPr>
  </w:style>
  <w:style w:type="paragraph" w:styleId="Prrafodelista">
    <w:name w:val="List Paragraph"/>
    <w:basedOn w:val="Normal"/>
    <w:uiPriority w:val="34"/>
    <w:qFormat/>
    <w:rsid w:val="007B248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s-ES_tradnl"/>
      <w14:ligatures w14:val="standardContextual"/>
    </w:rPr>
  </w:style>
  <w:style w:type="paragraph" w:styleId="NormalWeb">
    <w:name w:val="Normal (Web)"/>
    <w:basedOn w:val="Normal"/>
    <w:uiPriority w:val="99"/>
    <w:semiHidden/>
    <w:unhideWhenUsed/>
    <w:rsid w:val="007B2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derlatam.org/2019/07/el-listado-de-desastres-de-grupo-mexico-y-german-larr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22B1-0C44-4EB1-9350-90395DE9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1926</Words>
  <Characters>10597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Cortes Duran</dc:creator>
  <cp:lastModifiedBy>Brenda Sarahi Gonzalez Dominguez</cp:lastModifiedBy>
  <cp:revision>2</cp:revision>
  <cp:lastPrinted>2023-09-25T22:34:00Z</cp:lastPrinted>
  <dcterms:created xsi:type="dcterms:W3CDTF">2024-09-30T20:02:00Z</dcterms:created>
  <dcterms:modified xsi:type="dcterms:W3CDTF">2024-09-30T20:02:00Z</dcterms:modified>
</cp:coreProperties>
</file>