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44DB" w14:textId="77777777" w:rsidR="00234EA0" w:rsidRDefault="008367E3">
      <w:pPr>
        <w:spacing w:after="0" w:line="240" w:lineRule="auto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HONORABLE CONGRESO DEL ESTADO DE CHIHUAHUA</w:t>
      </w:r>
    </w:p>
    <w:p w14:paraId="182A8637" w14:textId="77777777" w:rsidR="00234EA0" w:rsidRDefault="008367E3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E.-</w:t>
      </w:r>
    </w:p>
    <w:p w14:paraId="326B9AD0" w14:textId="77777777" w:rsidR="00234EA0" w:rsidRDefault="00234EA0">
      <w:pPr>
        <w:spacing w:after="0" w:line="360" w:lineRule="auto"/>
        <w:jc w:val="both"/>
        <w:rPr>
          <w:rFonts w:ascii="Arial" w:eastAsia="Arial" w:hAnsi="Arial" w:cs="Arial"/>
        </w:rPr>
      </w:pPr>
    </w:p>
    <w:p w14:paraId="651EE531" w14:textId="77777777" w:rsidR="00234EA0" w:rsidRDefault="008367E3">
      <w:pPr>
        <w:spacing w:after="0" w:line="360" w:lineRule="auto"/>
        <w:jc w:val="both"/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 xml:space="preserve">El suscrito diputado </w:t>
      </w:r>
      <w:r>
        <w:rPr>
          <w:rFonts w:ascii="Arial" w:eastAsia="Arial" w:hAnsi="Arial" w:cs="Arial"/>
          <w:b/>
        </w:rPr>
        <w:t>Octavio Borunda Quevedo</w:t>
      </w:r>
      <w:r>
        <w:rPr>
          <w:rFonts w:ascii="Arial" w:eastAsia="Arial" w:hAnsi="Arial" w:cs="Arial"/>
        </w:rPr>
        <w:t xml:space="preserve">, Diputado de la LXVIII Legislatura del Honorable Congreso del Estado, representante del Partido Verde Ecologista de México, </w:t>
      </w:r>
      <w:r>
        <w:rPr>
          <w:rFonts w:ascii="Century Gothic" w:eastAsia="Century Gothic" w:hAnsi="Century Gothic" w:cs="Century Gothic"/>
        </w:rPr>
        <w:t>en uso de las atribuciones conferidas por los artículos 169, 174, fracción I y 175 todos de la Ley Orgánica del Poder Legislativo d</w:t>
      </w:r>
      <w:r>
        <w:rPr>
          <w:rFonts w:ascii="Century Gothic" w:eastAsia="Century Gothic" w:hAnsi="Century Gothic" w:cs="Century Gothic"/>
        </w:rPr>
        <w:t xml:space="preserve">el Estado de Chihuahua; así como el artículo 2, fracción IX, del Reglamento Interior y de Prácticas Parlamentarias del Poder Legislativo; comparezco  ante esta Honorable Soberanía, a fin de presentar </w:t>
      </w:r>
      <w:r>
        <w:rPr>
          <w:rFonts w:ascii="Century Gothic" w:eastAsia="Century Gothic" w:hAnsi="Century Gothic" w:cs="Century Gothic"/>
          <w:b/>
        </w:rPr>
        <w:t>Proposición con carácter de Punto De Acuerdo a</w:t>
      </w:r>
      <w:r>
        <w:rPr>
          <w:rFonts w:ascii="Arial" w:eastAsia="Arial" w:hAnsi="Arial" w:cs="Arial"/>
          <w:b/>
        </w:rPr>
        <w:t xml:space="preserve"> efecto de</w:t>
      </w:r>
      <w:r>
        <w:rPr>
          <w:rFonts w:ascii="Arial" w:eastAsia="Arial" w:hAnsi="Arial" w:cs="Arial"/>
          <w:b/>
        </w:rPr>
        <w:t xml:space="preserve"> exhortar al Poder Ejecutivo Estatal para que a través de la Secretaría de Comunicaciones y  Obras Públicas consideren una partida dentro del Presupuesto de Egresos 2025, con la finalidad de realizar la reparación de los caminos en la zona serrana de Guaza</w:t>
      </w:r>
      <w:r>
        <w:rPr>
          <w:rFonts w:ascii="Arial" w:eastAsia="Arial" w:hAnsi="Arial" w:cs="Arial"/>
          <w:b/>
        </w:rPr>
        <w:t>pares y al Gobierno Federal para integrar a Guazapares y a Nonoava al Programa para el Bienestar de los Pueblos Indígenas, en la categoría de Apoyo para Construcción y Ampliación de Infraestructura de Servicios Básicos y Comunicación Terrestre, Infraestruc</w:t>
      </w:r>
      <w:r>
        <w:rPr>
          <w:rFonts w:ascii="Arial" w:eastAsia="Arial" w:hAnsi="Arial" w:cs="Arial"/>
          <w:b/>
        </w:rPr>
        <w:t>tura Comunitaria y Apoyo Técnico Comunitario, dentro de la partida destinada 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Caminos artesanales a comunidades indígenas</w:t>
      </w:r>
      <w:r>
        <w:rPr>
          <w:rFonts w:ascii="Century Gothic" w:eastAsia="Century Gothic" w:hAnsi="Century Gothic" w:cs="Century Gothic"/>
          <w:b/>
        </w:rPr>
        <w:t>;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Lo anterior de conformidad con la siguiente</w:t>
      </w:r>
    </w:p>
    <w:p w14:paraId="6D4B7B83" w14:textId="77777777" w:rsidR="00234EA0" w:rsidRDefault="00234EA0">
      <w:pPr>
        <w:spacing w:after="0" w:line="360" w:lineRule="auto"/>
        <w:rPr>
          <w:rFonts w:ascii="Arial" w:eastAsia="Arial" w:hAnsi="Arial" w:cs="Arial"/>
          <w:b/>
        </w:rPr>
      </w:pPr>
    </w:p>
    <w:p w14:paraId="03CE5451" w14:textId="77777777" w:rsidR="00234EA0" w:rsidRDefault="008367E3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EXPOSICIÓN DE MOTIVOS</w:t>
      </w:r>
    </w:p>
    <w:p w14:paraId="1D85677E" w14:textId="77777777" w:rsidR="00234EA0" w:rsidRDefault="00234EA0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21E00BDD" w14:textId="77777777" w:rsidR="00234EA0" w:rsidRDefault="008367E3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municipio de Guazapares, se encuentra localizado en una de la</w:t>
      </w:r>
      <w:r>
        <w:rPr>
          <w:rFonts w:ascii="Arial" w:eastAsia="Arial" w:hAnsi="Arial" w:cs="Arial"/>
        </w:rPr>
        <w:t>s zonas más alejadas y abruptas de la Sierra Madre Occidental en el extremo suroeste del estado de Chihuahua, en la región donde la sierra desciende en profundas barrancas hacia las planicies de Sinaloa.</w:t>
      </w:r>
    </w:p>
    <w:p w14:paraId="2B33F4E1" w14:textId="77777777" w:rsidR="00234EA0" w:rsidRDefault="00234EA0">
      <w:pPr>
        <w:spacing w:after="0" w:line="360" w:lineRule="auto"/>
        <w:jc w:val="both"/>
        <w:rPr>
          <w:rFonts w:ascii="Arial" w:eastAsia="Arial" w:hAnsi="Arial" w:cs="Arial"/>
        </w:rPr>
      </w:pPr>
    </w:p>
    <w:p w14:paraId="03461C2E" w14:textId="77777777" w:rsidR="00234EA0" w:rsidRDefault="008367E3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Dada su posición geográfica las constantes lluvias </w:t>
      </w:r>
      <w:r>
        <w:rPr>
          <w:rFonts w:ascii="Arial" w:eastAsia="Arial" w:hAnsi="Arial" w:cs="Arial"/>
        </w:rPr>
        <w:t xml:space="preserve">en la región afectan los caminos rurales de esta localidad al ser obstaculizados por la misma tierra y material geológico de la zona que se desprende por las precipitaciones. </w:t>
      </w:r>
    </w:p>
    <w:p w14:paraId="33B3CC48" w14:textId="77777777" w:rsidR="00234EA0" w:rsidRDefault="008367E3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lastRenderedPageBreak/>
        <w:t xml:space="preserve">El año pasado, </w:t>
      </w:r>
      <w:r>
        <w:rPr>
          <w:rFonts w:ascii="Arial" w:eastAsia="Arial" w:hAnsi="Arial" w:cs="Arial"/>
          <w:color w:val="000000"/>
        </w:rPr>
        <w:t>la Secretaría de Comunicaciones y Obras Públicas del Estado de Ch</w:t>
      </w:r>
      <w:r>
        <w:rPr>
          <w:rFonts w:ascii="Arial" w:eastAsia="Arial" w:hAnsi="Arial" w:cs="Arial"/>
          <w:color w:val="000000"/>
        </w:rPr>
        <w:t>ihuahua trabajó en conjunto con la administración municipal realiz</w:t>
      </w:r>
      <w:r>
        <w:rPr>
          <w:rFonts w:ascii="Arial" w:eastAsia="Arial" w:hAnsi="Arial" w:cs="Arial"/>
        </w:rPr>
        <w:t>aron</w:t>
      </w:r>
      <w:r>
        <w:rPr>
          <w:rFonts w:ascii="Arial" w:eastAsia="Arial" w:hAnsi="Arial" w:cs="Arial"/>
          <w:color w:val="000000"/>
        </w:rPr>
        <w:t xml:space="preserve"> la rehabilitación del camino </w:t>
      </w:r>
      <w:proofErr w:type="spellStart"/>
      <w:r>
        <w:rPr>
          <w:rFonts w:ascii="Arial" w:eastAsia="Arial" w:hAnsi="Arial" w:cs="Arial"/>
          <w:color w:val="000000"/>
        </w:rPr>
        <w:t>Témoris</w:t>
      </w:r>
      <w:proofErr w:type="spellEnd"/>
      <w:r>
        <w:rPr>
          <w:rFonts w:ascii="Arial" w:eastAsia="Arial" w:hAnsi="Arial" w:cs="Arial"/>
          <w:color w:val="000000"/>
        </w:rPr>
        <w:t>- Santa Matilde en el municipio de Guazapares.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</w:p>
    <w:p w14:paraId="13B0A926" w14:textId="77777777" w:rsidR="00234EA0" w:rsidRDefault="00234E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7B55C9C1" w14:textId="77777777" w:rsidR="00234EA0" w:rsidRDefault="008367E3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bien ese camino fue rehabilitado, existen caminos conocidos como vecinales y que son de uso diar</w:t>
      </w:r>
      <w:r>
        <w:rPr>
          <w:rFonts w:ascii="Arial" w:eastAsia="Arial" w:hAnsi="Arial" w:cs="Arial"/>
          <w:color w:val="000000"/>
        </w:rPr>
        <w:t xml:space="preserve">io de toda la comunidad, como es el camino de la Caseta a Monterde y de Monterde a Tierra Blanca.  </w:t>
      </w:r>
    </w:p>
    <w:p w14:paraId="2529DEBC" w14:textId="77777777" w:rsidR="00234EA0" w:rsidRDefault="00234E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5252A23F" w14:textId="77777777" w:rsidR="00234EA0" w:rsidRDefault="008367E3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Este tramo tiene un trayecto aproximado de 70 kilómetros y atraviesa las comunidades de </w:t>
      </w:r>
      <w:proofErr w:type="spellStart"/>
      <w:r>
        <w:rPr>
          <w:rFonts w:ascii="Arial" w:eastAsia="Arial" w:hAnsi="Arial" w:cs="Arial"/>
          <w:color w:val="000000"/>
        </w:rPr>
        <w:t>Hijochi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Zategomac</w:t>
      </w:r>
      <w:proofErr w:type="spellEnd"/>
      <w:r>
        <w:rPr>
          <w:rFonts w:ascii="Arial" w:eastAsia="Arial" w:hAnsi="Arial" w:cs="Arial"/>
          <w:color w:val="000000"/>
        </w:rPr>
        <w:t xml:space="preserve">, Chuchupate, Nacarare, </w:t>
      </w:r>
      <w:proofErr w:type="spellStart"/>
      <w:r>
        <w:rPr>
          <w:rFonts w:ascii="Arial" w:eastAsia="Arial" w:hAnsi="Arial" w:cs="Arial"/>
          <w:color w:val="000000"/>
        </w:rPr>
        <w:t>Bajios</w:t>
      </w:r>
      <w:proofErr w:type="spellEnd"/>
      <w:r>
        <w:rPr>
          <w:rFonts w:ascii="Arial" w:eastAsia="Arial" w:hAnsi="Arial" w:cs="Arial"/>
          <w:color w:val="000000"/>
        </w:rPr>
        <w:t xml:space="preserve"> del </w:t>
      </w:r>
      <w:proofErr w:type="spellStart"/>
      <w:r>
        <w:rPr>
          <w:rFonts w:ascii="Arial" w:eastAsia="Arial" w:hAnsi="Arial" w:cs="Arial"/>
          <w:color w:val="000000"/>
        </w:rPr>
        <w:t>Pitorreal</w:t>
      </w:r>
      <w:proofErr w:type="spellEnd"/>
      <w:r>
        <w:rPr>
          <w:rFonts w:ascii="Arial" w:eastAsia="Arial" w:hAnsi="Arial" w:cs="Arial"/>
          <w:color w:val="000000"/>
        </w:rPr>
        <w:t>, Arr</w:t>
      </w:r>
      <w:r>
        <w:rPr>
          <w:rFonts w:ascii="Arial" w:eastAsia="Arial" w:hAnsi="Arial" w:cs="Arial"/>
          <w:color w:val="000000"/>
        </w:rPr>
        <w:t xml:space="preserve">oyo Largo, </w:t>
      </w:r>
      <w:proofErr w:type="spellStart"/>
      <w:r>
        <w:rPr>
          <w:rFonts w:ascii="Arial" w:eastAsia="Arial" w:hAnsi="Arial" w:cs="Arial"/>
          <w:color w:val="000000"/>
        </w:rPr>
        <w:t>Ocoviahi</w:t>
      </w:r>
      <w:proofErr w:type="spellEnd"/>
      <w:r>
        <w:rPr>
          <w:rFonts w:ascii="Arial" w:eastAsia="Arial" w:hAnsi="Arial" w:cs="Arial"/>
          <w:color w:val="000000"/>
        </w:rPr>
        <w:t xml:space="preserve"> y </w:t>
      </w:r>
      <w:proofErr w:type="spellStart"/>
      <w:r>
        <w:rPr>
          <w:rFonts w:ascii="Arial" w:eastAsia="Arial" w:hAnsi="Arial" w:cs="Arial"/>
          <w:color w:val="000000"/>
        </w:rPr>
        <w:t>Guaviachi</w:t>
      </w:r>
      <w:proofErr w:type="spellEnd"/>
      <w:r>
        <w:rPr>
          <w:rFonts w:ascii="Arial" w:eastAsia="Arial" w:hAnsi="Arial" w:cs="Arial"/>
          <w:color w:val="000000"/>
        </w:rPr>
        <w:t>, entre otras. Alrededor de ese tramo se encuentran localizadas cinco escuelas de educación básica a las que asiste población mayoritariamente indígena.</w:t>
      </w:r>
    </w:p>
    <w:p w14:paraId="47271D75" w14:textId="77777777" w:rsidR="00234EA0" w:rsidRDefault="00234E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2A1F1C9" w14:textId="77777777" w:rsidR="00234EA0" w:rsidRDefault="008367E3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Estos 70 kilómetros requieren de compensación de la superficie de rodam</w:t>
      </w:r>
      <w:r>
        <w:rPr>
          <w:rFonts w:ascii="Arial" w:eastAsia="Arial" w:hAnsi="Arial" w:cs="Arial"/>
          <w:color w:val="000000"/>
        </w:rPr>
        <w:t xml:space="preserve">iento y semi compactación por bandeo dado que las condiciones actuales del camino impiden el traslado de los habitantes en época de lluvias, quiénes tienen la necesidad de trasladarse de una comunidad a otra. </w:t>
      </w:r>
    </w:p>
    <w:p w14:paraId="59C59584" w14:textId="77777777" w:rsidR="00234EA0" w:rsidRDefault="00234EA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C05DF91" w14:textId="77777777" w:rsidR="00234EA0" w:rsidRDefault="008367E3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rehabilitar los caminos permite mejorar la</w:t>
      </w:r>
      <w:r>
        <w:rPr>
          <w:rFonts w:ascii="Arial" w:eastAsia="Arial" w:hAnsi="Arial" w:cs="Arial"/>
          <w:color w:val="000000"/>
        </w:rPr>
        <w:t>s condiciones actuales de la población porque, entre otras cosas, une a diversas comunidades y facilita el traslado de mercancías, así como la llegada más oportuna de servicios públicos como son la salud y la educación; así como l</w:t>
      </w:r>
      <w:r>
        <w:rPr>
          <w:rFonts w:ascii="Arial" w:eastAsia="Arial" w:hAnsi="Arial" w:cs="Arial"/>
        </w:rPr>
        <w:t>os servicios privados</w:t>
      </w:r>
      <w:r>
        <w:rPr>
          <w:rFonts w:ascii="Arial" w:eastAsia="Arial" w:hAnsi="Arial" w:cs="Arial"/>
          <w:color w:val="000000"/>
        </w:rPr>
        <w:t xml:space="preserve"> como</w:t>
      </w:r>
      <w:r>
        <w:rPr>
          <w:rFonts w:ascii="Arial" w:eastAsia="Arial" w:hAnsi="Arial" w:cs="Arial"/>
          <w:color w:val="000000"/>
        </w:rPr>
        <w:t xml:space="preserve"> son las comunicaciones y los servicios bancarios.</w:t>
      </w:r>
    </w:p>
    <w:p w14:paraId="585E85C1" w14:textId="77777777" w:rsidR="00234EA0" w:rsidRDefault="00234EA0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</w:p>
    <w:p w14:paraId="3D3E3347" w14:textId="77777777" w:rsidR="00234EA0" w:rsidRDefault="008367E3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bien los municipios tienen autonomía para realizar la reparación de caminos, muchas veces se carece de maquinaria adecuada y de solvencia económica, por lo que se terminan adquiriendo créditos que term</w:t>
      </w:r>
      <w:r>
        <w:rPr>
          <w:rFonts w:ascii="Arial" w:eastAsia="Arial" w:hAnsi="Arial" w:cs="Arial"/>
          <w:color w:val="000000"/>
        </w:rPr>
        <w:t xml:space="preserve">ina pagando la población a un costo muy elevado, por lo que es necesario la intervención del Gobierno del Estado, que ya cuenta con maquinaria para ese tipo de trabajos. </w:t>
      </w:r>
    </w:p>
    <w:p w14:paraId="1641EF6E" w14:textId="77777777" w:rsidR="00234EA0" w:rsidRDefault="00234EA0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</w:p>
    <w:p w14:paraId="7A8B111F" w14:textId="77777777" w:rsidR="00234EA0" w:rsidRDefault="008367E3">
      <w:pPr>
        <w:spacing w:line="360" w:lineRule="auto"/>
        <w:ind w:right="191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Infraestructura Carretera, se define como el conjunto de caminos públicos y privados, pavimentados, utilizados para la comunicación terrestre; el tránsito de vehículos; el </w:t>
      </w:r>
      <w:r>
        <w:rPr>
          <w:rFonts w:ascii="Arial" w:eastAsia="Arial" w:hAnsi="Arial" w:cs="Arial"/>
          <w:i/>
        </w:rPr>
        <w:t>transporte</w:t>
      </w:r>
      <w:r>
        <w:rPr>
          <w:rFonts w:ascii="Arial" w:eastAsia="Arial" w:hAnsi="Arial" w:cs="Arial"/>
          <w:i/>
          <w:color w:val="000000"/>
        </w:rPr>
        <w:t xml:space="preserve"> de carga, personas y mercancías. En algunos casos </w:t>
      </w:r>
      <w:r>
        <w:rPr>
          <w:rFonts w:ascii="Arial" w:eastAsia="Arial" w:hAnsi="Arial" w:cs="Arial"/>
          <w:i/>
        </w:rPr>
        <w:t>está</w:t>
      </w:r>
      <w:r>
        <w:rPr>
          <w:rFonts w:ascii="Arial" w:eastAsia="Arial" w:hAnsi="Arial" w:cs="Arial"/>
          <w:i/>
          <w:color w:val="000000"/>
        </w:rPr>
        <w:t xml:space="preserve"> compuesta por estructuras como puentes, túneles y plazas de cobro.</w:t>
      </w:r>
      <w:r>
        <w:rPr>
          <w:rFonts w:ascii="Arial" w:eastAsia="Arial" w:hAnsi="Arial" w:cs="Arial"/>
          <w:i/>
          <w:color w:val="000000"/>
          <w:vertAlign w:val="superscript"/>
        </w:rPr>
        <w:footnoteReference w:id="2"/>
      </w:r>
    </w:p>
    <w:p w14:paraId="441CBB03" w14:textId="77777777" w:rsidR="00234EA0" w:rsidRDefault="00234EA0">
      <w:pPr>
        <w:spacing w:line="360" w:lineRule="auto"/>
        <w:ind w:right="191"/>
        <w:jc w:val="both"/>
        <w:rPr>
          <w:rFonts w:ascii="Arial" w:eastAsia="Arial" w:hAnsi="Arial" w:cs="Arial"/>
          <w:color w:val="000000"/>
        </w:rPr>
      </w:pPr>
    </w:p>
    <w:p w14:paraId="1D3F3989" w14:textId="77777777" w:rsidR="00234EA0" w:rsidRDefault="008367E3">
      <w:pPr>
        <w:spacing w:line="360" w:lineRule="auto"/>
        <w:ind w:right="19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Bajo esa definición, me es preciso mencionar la responsabilidad de un trabajo conjunto entre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color w:val="000000"/>
        </w:rPr>
        <w:t xml:space="preserve">gobierno federal y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color w:val="000000"/>
        </w:rPr>
        <w:t xml:space="preserve"> gobierno est</w:t>
      </w:r>
      <w:r>
        <w:rPr>
          <w:rFonts w:ascii="Arial" w:eastAsia="Arial" w:hAnsi="Arial" w:cs="Arial"/>
          <w:color w:val="000000"/>
        </w:rPr>
        <w:t>atal.</w:t>
      </w:r>
    </w:p>
    <w:p w14:paraId="1D8EEF46" w14:textId="77777777" w:rsidR="00234EA0" w:rsidRDefault="00234EA0">
      <w:pPr>
        <w:spacing w:line="360" w:lineRule="auto"/>
        <w:ind w:right="191"/>
        <w:jc w:val="both"/>
        <w:rPr>
          <w:rFonts w:ascii="Arial" w:eastAsia="Arial" w:hAnsi="Arial" w:cs="Arial"/>
          <w:color w:val="000000"/>
        </w:rPr>
      </w:pPr>
    </w:p>
    <w:p w14:paraId="0F7E143E" w14:textId="77777777" w:rsidR="00234EA0" w:rsidRDefault="008367E3">
      <w:pPr>
        <w:spacing w:line="360" w:lineRule="auto"/>
        <w:ind w:right="19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El 20 de mayo de 2022, el entonces </w:t>
      </w:r>
      <w:proofErr w:type="gramStart"/>
      <w:r>
        <w:rPr>
          <w:rFonts w:ascii="Arial" w:eastAsia="Arial" w:hAnsi="Arial" w:cs="Arial"/>
          <w:color w:val="000000"/>
        </w:rPr>
        <w:t>Presidente</w:t>
      </w:r>
      <w:proofErr w:type="gramEnd"/>
      <w:r>
        <w:rPr>
          <w:rFonts w:ascii="Arial" w:eastAsia="Arial" w:hAnsi="Arial" w:cs="Arial"/>
          <w:color w:val="000000"/>
        </w:rPr>
        <w:t xml:space="preserve"> de la República anunció que la Secretaría de Infraestructura, Comunicaciones y Transportes (SICT), invertiría 250 millones de pesos en la pavimentación de caminos en cinco municipios de la sierra tarahum</w:t>
      </w:r>
      <w:r>
        <w:rPr>
          <w:rFonts w:ascii="Arial" w:eastAsia="Arial" w:hAnsi="Arial" w:cs="Arial"/>
          <w:color w:val="000000"/>
        </w:rPr>
        <w:t>ara, lo anterior, en el marco de</w:t>
      </w:r>
      <w:r>
        <w:rPr>
          <w:rFonts w:ascii="Arial" w:eastAsia="Arial" w:hAnsi="Arial" w:cs="Arial"/>
        </w:rPr>
        <w:t xml:space="preserve"> la campaña</w:t>
      </w:r>
      <w:r>
        <w:rPr>
          <w:rFonts w:ascii="Arial" w:eastAsia="Arial" w:hAnsi="Arial" w:cs="Arial"/>
          <w:color w:val="000000"/>
        </w:rPr>
        <w:t xml:space="preserve"> federal "Mejora en la Conectividad Municipal a través de Caminos Rurales y Alimentadores".</w:t>
      </w:r>
      <w:r>
        <w:rPr>
          <w:rFonts w:ascii="Arial" w:eastAsia="Arial" w:hAnsi="Arial" w:cs="Arial"/>
          <w:color w:val="000000"/>
          <w:vertAlign w:val="superscript"/>
        </w:rPr>
        <w:footnoteReference w:id="3"/>
      </w:r>
    </w:p>
    <w:p w14:paraId="72DB50C2" w14:textId="77777777" w:rsidR="00234EA0" w:rsidRDefault="00234EA0">
      <w:pPr>
        <w:spacing w:line="360" w:lineRule="auto"/>
        <w:ind w:right="191"/>
        <w:jc w:val="both"/>
        <w:rPr>
          <w:rFonts w:ascii="Arial" w:eastAsia="Arial" w:hAnsi="Arial" w:cs="Arial"/>
          <w:color w:val="000000"/>
        </w:rPr>
      </w:pPr>
    </w:p>
    <w:p w14:paraId="62B61231" w14:textId="77777777" w:rsidR="00234EA0" w:rsidRDefault="008367E3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su anuncio, detalló que el objetivo era impulsar el desarrollo de comunidades indígenas, priorizando las cabeceras </w:t>
      </w:r>
      <w:r>
        <w:rPr>
          <w:rFonts w:ascii="Arial" w:eastAsia="Arial" w:hAnsi="Arial" w:cs="Arial"/>
          <w:color w:val="000000"/>
        </w:rPr>
        <w:t xml:space="preserve">municipales, las cuales aún no cuentan con un camino pavimentado y están a nivel terracerías. </w:t>
      </w:r>
    </w:p>
    <w:p w14:paraId="7DE4DB68" w14:textId="77777777" w:rsidR="00234EA0" w:rsidRDefault="00234EA0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</w:p>
    <w:p w14:paraId="4FC21D6A" w14:textId="77777777" w:rsidR="00234EA0" w:rsidRDefault="00234EA0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</w:p>
    <w:p w14:paraId="64EF566E" w14:textId="77777777" w:rsidR="00234EA0" w:rsidRDefault="008367E3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trabajo fue efectuado con mano de obra local y priorizando la atención en zonas con media, alta y muy alta marginación. Las comunidades beneficiadas fueron:</w:t>
      </w:r>
      <w:r>
        <w:rPr>
          <w:rFonts w:ascii="Arial" w:eastAsia="Arial" w:hAnsi="Arial" w:cs="Arial"/>
          <w:color w:val="000000"/>
        </w:rPr>
        <w:t xml:space="preserve"> Moris, Ocampo, </w:t>
      </w:r>
      <w:proofErr w:type="spellStart"/>
      <w:r>
        <w:rPr>
          <w:rFonts w:ascii="Arial" w:eastAsia="Arial" w:hAnsi="Arial" w:cs="Arial"/>
          <w:color w:val="000000"/>
        </w:rPr>
        <w:t>Temósachic</w:t>
      </w:r>
      <w:proofErr w:type="spellEnd"/>
      <w:r>
        <w:rPr>
          <w:rFonts w:ascii="Arial" w:eastAsia="Arial" w:hAnsi="Arial" w:cs="Arial"/>
          <w:color w:val="000000"/>
        </w:rPr>
        <w:t>, Madera y Morelos, a los que se les entregó un recurso de 50 millones de pesos cada una, destinados a la construcción de estos caminos rurales.</w:t>
      </w:r>
    </w:p>
    <w:p w14:paraId="4CD39B84" w14:textId="77777777" w:rsidR="00234EA0" w:rsidRDefault="00234EA0">
      <w:pPr>
        <w:spacing w:after="0" w:line="360" w:lineRule="auto"/>
        <w:ind w:right="191"/>
        <w:jc w:val="both"/>
        <w:rPr>
          <w:rFonts w:ascii="Arial" w:eastAsia="Arial" w:hAnsi="Arial" w:cs="Arial"/>
          <w:b/>
          <w:color w:val="000000"/>
        </w:rPr>
      </w:pPr>
    </w:p>
    <w:p w14:paraId="6D0203D2" w14:textId="77777777" w:rsidR="00234EA0" w:rsidRDefault="008367E3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 acuerdo a la página del Instituto Nacional de los Pueblos Indígenas, dentro del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 xml:space="preserve">rograma para el Bienestar de los Pueblos Indígenas conocido como PROBIPI, </w:t>
      </w:r>
      <w:r>
        <w:rPr>
          <w:rFonts w:ascii="Arial" w:eastAsia="Arial" w:hAnsi="Arial" w:cs="Arial"/>
        </w:rPr>
        <w:t>existe una categoría de Apoyo para Construcción y Ampliación de Infraestructura de Servicios Básicos y Comunicación Terrestre, Infraestructura Comunitaria y Apoyo Técnico Comunitario</w:t>
      </w:r>
      <w:r>
        <w:rPr>
          <w:rFonts w:ascii="Arial" w:eastAsia="Arial" w:hAnsi="Arial" w:cs="Arial"/>
        </w:rPr>
        <w:t xml:space="preserve">, dentro de ese rubro existe el apoyo para </w:t>
      </w:r>
      <w:r>
        <w:rPr>
          <w:rFonts w:ascii="Arial" w:eastAsia="Arial" w:hAnsi="Arial" w:cs="Arial"/>
          <w:b/>
          <w:color w:val="000000"/>
        </w:rPr>
        <w:t>Caminos artesanales a comunidades indígenas</w:t>
      </w:r>
      <w:r>
        <w:rPr>
          <w:rFonts w:ascii="Arial" w:eastAsia="Arial" w:hAnsi="Arial" w:cs="Arial"/>
          <w:color w:val="000000"/>
        </w:rPr>
        <w:t>. Según la misma página señala que</w:t>
      </w:r>
    </w:p>
    <w:p w14:paraId="01598C93" w14:textId="77777777" w:rsidR="00234EA0" w:rsidRDefault="00234EA0">
      <w:pPr>
        <w:spacing w:after="0" w:line="360" w:lineRule="auto"/>
        <w:ind w:left="709" w:right="900"/>
        <w:jc w:val="both"/>
        <w:rPr>
          <w:rFonts w:ascii="Arial" w:eastAsia="Arial" w:hAnsi="Arial" w:cs="Arial"/>
          <w:color w:val="000000"/>
        </w:rPr>
      </w:pPr>
    </w:p>
    <w:p w14:paraId="63728B7D" w14:textId="77777777" w:rsidR="00234EA0" w:rsidRDefault="008367E3">
      <w:pPr>
        <w:spacing w:after="0" w:line="360" w:lineRule="auto"/>
        <w:ind w:left="709" w:right="9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el apoyo consiste en la pavimentación de vías de comunicación terrestre existentes, con roderas de concreto hidráulico y empedrado, mi</w:t>
      </w:r>
      <w:r>
        <w:rPr>
          <w:rFonts w:ascii="Arial" w:eastAsia="Arial" w:hAnsi="Arial" w:cs="Arial"/>
          <w:color w:val="000000"/>
          <w:sz w:val="18"/>
          <w:szCs w:val="18"/>
        </w:rPr>
        <w:t>smos que deberán ser ejecutados por las comunidades indígenas, conforme a las especificaciones establecidas por la Unidad Responsable de la vertiente o contar con la opinión y/o dictamen técnico de la Instancia Normativa</w:t>
      </w:r>
      <w:r>
        <w:rPr>
          <w:rFonts w:ascii="Arial" w:eastAsia="Arial" w:hAnsi="Arial" w:cs="Arial"/>
          <w:sz w:val="18"/>
          <w:szCs w:val="18"/>
        </w:rPr>
        <w:t>…</w:t>
      </w:r>
    </w:p>
    <w:p w14:paraId="3C5E1B12" w14:textId="77777777" w:rsidR="00234EA0" w:rsidRDefault="008367E3">
      <w:pPr>
        <w:spacing w:after="0" w:line="360" w:lineRule="auto"/>
        <w:ind w:left="709" w:right="90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El Instituto Nacional de Pueblos Ind</w:t>
      </w:r>
      <w:r>
        <w:rPr>
          <w:rFonts w:ascii="Arial" w:eastAsia="Arial" w:hAnsi="Arial" w:cs="Arial"/>
          <w:sz w:val="18"/>
          <w:szCs w:val="18"/>
        </w:rPr>
        <w:t xml:space="preserve">ígenas </w:t>
      </w:r>
      <w:r>
        <w:rPr>
          <w:rFonts w:ascii="Arial" w:eastAsia="Arial" w:hAnsi="Arial" w:cs="Arial"/>
          <w:color w:val="000000"/>
          <w:sz w:val="18"/>
          <w:szCs w:val="18"/>
        </w:rPr>
        <w:t>podrá incluir obras cuyas características de diseño, alcances o condicionantes de ejecución, beneficien adicionalmente a comunidades o localidades no incluidas en la población objetivo, siempre y cuando su propósi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to se oriente específicamente a beneficiar a población indígena y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afromexicana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footnoteReference w:id="4"/>
      </w:r>
    </w:p>
    <w:p w14:paraId="01414C9F" w14:textId="77777777" w:rsidR="00234EA0" w:rsidRDefault="00234EA0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</w:p>
    <w:p w14:paraId="41252363" w14:textId="77777777" w:rsidR="00234EA0" w:rsidRDefault="008367E3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programa de atención a caminos artesanales es una inversión importante en el futuro de las comunidades rurales en el Estado de Chihuahua ya que la infraestructura carrete</w:t>
      </w:r>
      <w:r>
        <w:rPr>
          <w:rFonts w:ascii="Arial" w:eastAsia="Arial" w:hAnsi="Arial" w:cs="Arial"/>
          <w:color w:val="000000"/>
        </w:rPr>
        <w:t>ra en buen estado mejora la calidad de vida de los residentes y fomentan el desarrollo económico.</w:t>
      </w:r>
    </w:p>
    <w:p w14:paraId="48CB6C93" w14:textId="77777777" w:rsidR="00234EA0" w:rsidRDefault="00234EA0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</w:p>
    <w:p w14:paraId="3F112004" w14:textId="77777777" w:rsidR="00234EA0" w:rsidRDefault="008367E3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rehabilitación de la infraestructura carretera permitiría fomentar la economía local mediante el empleo y la organización comunitaria, pero además se ince</w:t>
      </w:r>
      <w:r>
        <w:rPr>
          <w:rFonts w:ascii="Arial" w:eastAsia="Arial" w:hAnsi="Arial" w:cs="Arial"/>
          <w:color w:val="000000"/>
        </w:rPr>
        <w:t xml:space="preserve">ntiva el uso de insumos locales y amigables con el medio ambiente, ya que el programa señala la necesidad de utilizar materiales propios de la región. </w:t>
      </w:r>
    </w:p>
    <w:p w14:paraId="0F06006A" w14:textId="77777777" w:rsidR="00234EA0" w:rsidRDefault="00234EA0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</w:p>
    <w:p w14:paraId="744A9681" w14:textId="77777777" w:rsidR="00234EA0" w:rsidRDefault="008367E3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Dentro de los criterios de selección el Instituto Nacional de Pueblos Indígenas (INPI) señala que:</w:t>
      </w:r>
    </w:p>
    <w:p w14:paraId="6C7CD550" w14:textId="77777777" w:rsidR="00234EA0" w:rsidRDefault="00234EA0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</w:p>
    <w:p w14:paraId="0C10410C" w14:textId="77777777" w:rsidR="00234EA0" w:rsidRDefault="008367E3">
      <w:pPr>
        <w:spacing w:after="0" w:line="360" w:lineRule="auto"/>
        <w:ind w:left="1134" w:right="1183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“Las comunidades y localidades indígenas y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afromexicanas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elegibles para recibir apoyos son las que cuenten con las características de población objetivo, y requieran la ejecución de obras y acciones conforme a los tipos de apoyo. además de contar con el c</w:t>
      </w:r>
      <w:r>
        <w:rPr>
          <w:rFonts w:ascii="Arial" w:eastAsia="Arial" w:hAnsi="Arial" w:cs="Arial"/>
          <w:color w:val="000000"/>
          <w:sz w:val="18"/>
          <w:szCs w:val="18"/>
        </w:rPr>
        <w:t>onsentimiento de la población beneficiaria y el aval comunitario”.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footnoteReference w:id="5"/>
      </w:r>
    </w:p>
    <w:p w14:paraId="669C1AE3" w14:textId="77777777" w:rsidR="00234EA0" w:rsidRDefault="00234EA0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</w:p>
    <w:p w14:paraId="0DC052C8" w14:textId="77777777" w:rsidR="00234EA0" w:rsidRDefault="008367E3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Dentro de los criterios de selección se señala que </w:t>
      </w:r>
      <w:r>
        <w:rPr>
          <w:rFonts w:ascii="Arial" w:eastAsia="Arial" w:hAnsi="Arial" w:cs="Arial"/>
        </w:rPr>
        <w:t>serán beneficiadas las comunidades que cumplan con las siguientes características</w:t>
      </w:r>
      <w:r>
        <w:rPr>
          <w:rFonts w:ascii="Arial" w:eastAsia="Arial" w:hAnsi="Arial" w:cs="Arial"/>
          <w:color w:val="000000"/>
        </w:rPr>
        <w:t>:</w:t>
      </w:r>
    </w:p>
    <w:p w14:paraId="26346DBE" w14:textId="77777777" w:rsidR="00234EA0" w:rsidRDefault="00234EA0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</w:p>
    <w:p w14:paraId="4462D682" w14:textId="77777777" w:rsidR="00234EA0" w:rsidRDefault="008367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1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Presente rezago en infraestructura básica, comunica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ción terrestre, infraestructura comunitaria. </w:t>
      </w:r>
    </w:p>
    <w:p w14:paraId="1ECC13D1" w14:textId="77777777" w:rsidR="00234EA0" w:rsidRDefault="008367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1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El tamaño de la población. </w:t>
      </w:r>
    </w:p>
    <w:p w14:paraId="1621038F" w14:textId="77777777" w:rsidR="00234EA0" w:rsidRDefault="008367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1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El Índice de Marginación. </w:t>
      </w:r>
    </w:p>
    <w:p w14:paraId="0B923522" w14:textId="77777777" w:rsidR="00234EA0" w:rsidRDefault="008367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1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Que formen parte del Plan Nacional de Desarrollo, Proyectos prioritarios y estratégicos del Gobierno de México, los que se generen a través de Comisiones P</w:t>
      </w:r>
      <w:r>
        <w:rPr>
          <w:rFonts w:ascii="Arial" w:eastAsia="Arial" w:hAnsi="Arial" w:cs="Arial"/>
          <w:color w:val="000000"/>
          <w:sz w:val="18"/>
          <w:szCs w:val="18"/>
        </w:rPr>
        <w:t>residenciales, Planes de Justicia y Planes Integrales de Desarrollo Regional implementados por el INPI.</w:t>
      </w:r>
    </w:p>
    <w:p w14:paraId="030D04F7" w14:textId="77777777" w:rsidR="00234EA0" w:rsidRDefault="008367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1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Complejidad del proyecto y comunidades de atención focalizada como prioritaria.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footnoteReference w:id="6"/>
      </w:r>
    </w:p>
    <w:p w14:paraId="25842045" w14:textId="77777777" w:rsidR="00234EA0" w:rsidRDefault="00234EA0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</w:p>
    <w:p w14:paraId="58D6B4CF" w14:textId="77777777" w:rsidR="00234EA0" w:rsidRDefault="008367E3">
      <w:pPr>
        <w:spacing w:after="0" w:line="360" w:lineRule="auto"/>
        <w:ind w:right="1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Guazapares cuenta con las características de las reglas de operación de este programa, al igual que el municipio de Nonoava ambos con población indígena y al que un servidor le han llegado solicitudes en materia presupuestal.</w:t>
      </w:r>
    </w:p>
    <w:p w14:paraId="3FE34D74" w14:textId="77777777" w:rsidR="00234EA0" w:rsidRDefault="00234EA0">
      <w:pPr>
        <w:spacing w:after="0" w:line="360" w:lineRule="auto"/>
        <w:ind w:right="191"/>
        <w:jc w:val="both"/>
        <w:rPr>
          <w:rFonts w:ascii="Arial" w:eastAsia="Arial" w:hAnsi="Arial" w:cs="Arial"/>
        </w:rPr>
      </w:pPr>
    </w:p>
    <w:p w14:paraId="0E1F3655" w14:textId="77777777" w:rsidR="00234EA0" w:rsidRDefault="008367E3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 lo que me parece pertinen</w:t>
      </w:r>
      <w:r>
        <w:rPr>
          <w:rFonts w:ascii="Arial" w:eastAsia="Arial" w:hAnsi="Arial" w:cs="Arial"/>
          <w:color w:val="000000"/>
        </w:rPr>
        <w:t xml:space="preserve">te considerar que ambos municipios ingresen al programa federal, dado que no sólo es un camino sino varios tramos los que se encuentran en desgaste y es necesario rehabilitar. </w:t>
      </w:r>
    </w:p>
    <w:p w14:paraId="5E741087" w14:textId="77777777" w:rsidR="00234EA0" w:rsidRDefault="00234EA0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</w:p>
    <w:p w14:paraId="25AAE6FB" w14:textId="77777777" w:rsidR="00234EA0" w:rsidRDefault="008367E3">
      <w:pPr>
        <w:spacing w:after="0" w:line="360" w:lineRule="auto"/>
        <w:ind w:right="19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 lo anteriormente expuesto pongo a su consideración, el siguiente:</w:t>
      </w:r>
    </w:p>
    <w:p w14:paraId="286C0027" w14:textId="77777777" w:rsidR="00234EA0" w:rsidRDefault="00234EA0">
      <w:pPr>
        <w:spacing w:after="0" w:line="360" w:lineRule="auto"/>
        <w:rPr>
          <w:rFonts w:ascii="Arial" w:eastAsia="Arial" w:hAnsi="Arial" w:cs="Arial"/>
          <w:b/>
        </w:rPr>
      </w:pPr>
    </w:p>
    <w:p w14:paraId="524EB142" w14:textId="77777777" w:rsidR="00234EA0" w:rsidRDefault="008367E3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PUNTO DE ACUERDO:</w:t>
      </w:r>
    </w:p>
    <w:p w14:paraId="2FF309B1" w14:textId="77777777" w:rsidR="00234EA0" w:rsidRDefault="00234EA0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19C7A78A" w14:textId="77777777" w:rsidR="00234EA0" w:rsidRDefault="008367E3">
      <w:pPr>
        <w:spacing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PRIMERO.-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La Sexagésima Octava Legislatura del Estado de Chihuahua exhorta al Poder Ejecutivo Estatal para que en uso de sus facultades y atribuciones, a través de la Secretaría de Comunicaciones y Obras Públicas, consideren una partida </w:t>
      </w:r>
      <w:r>
        <w:rPr>
          <w:rFonts w:ascii="Arial" w:eastAsia="Arial" w:hAnsi="Arial" w:cs="Arial"/>
        </w:rPr>
        <w:t>dentro del Presupuesto de Egresos 2025 con la finalidad de realizar la reparación de los caminos en la zonas serranas de Guazapares..</w:t>
      </w:r>
    </w:p>
    <w:p w14:paraId="1B73239D" w14:textId="77777777" w:rsidR="00234EA0" w:rsidRDefault="00234EA0">
      <w:pPr>
        <w:spacing w:after="0" w:line="360" w:lineRule="auto"/>
        <w:jc w:val="both"/>
        <w:rPr>
          <w:rFonts w:ascii="Arial" w:eastAsia="Arial" w:hAnsi="Arial" w:cs="Arial"/>
        </w:rPr>
      </w:pPr>
    </w:p>
    <w:p w14:paraId="2B2A06A4" w14:textId="77777777" w:rsidR="00234EA0" w:rsidRDefault="008367E3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SEGUNDO.-  </w:t>
      </w:r>
      <w:r>
        <w:rPr>
          <w:rFonts w:ascii="Arial" w:eastAsia="Arial" w:hAnsi="Arial" w:cs="Arial"/>
        </w:rPr>
        <w:t>La Sexagésima Octava Legislatura del Estado de Chihuahua exhorta al Poder Ejecutivo Federal para que en uso de</w:t>
      </w:r>
      <w:r>
        <w:rPr>
          <w:rFonts w:ascii="Arial" w:eastAsia="Arial" w:hAnsi="Arial" w:cs="Arial"/>
        </w:rPr>
        <w:t xml:space="preserve"> sus facultades y atribuciones, a través del Instituto Nacional de los Pueblos Indígenas y la Secretaría de Infraestructura, Comunicaciones y Transportes, consideren ingresar a los municipios de Guazapares y Nonoava, al </w:t>
      </w:r>
      <w:r>
        <w:rPr>
          <w:rFonts w:ascii="Arial" w:eastAsia="Arial" w:hAnsi="Arial" w:cs="Arial"/>
          <w:b/>
        </w:rPr>
        <w:t>Programa para el Bienestar de los Pu</w:t>
      </w:r>
      <w:r>
        <w:rPr>
          <w:rFonts w:ascii="Arial" w:eastAsia="Arial" w:hAnsi="Arial" w:cs="Arial"/>
          <w:b/>
        </w:rPr>
        <w:t xml:space="preserve">eblos Indígenas </w:t>
      </w:r>
      <w:r>
        <w:rPr>
          <w:rFonts w:ascii="Arial" w:eastAsia="Arial" w:hAnsi="Arial" w:cs="Arial"/>
        </w:rPr>
        <w:t xml:space="preserve">en la categoría de Apoyo para Construcción y Ampliación de Infraestructura de Servicios Básicos y Comunicación Terrestre, Infraestructura Comunitaria y Apoyo Técnico Comunitario, para la construcción de </w:t>
      </w:r>
      <w:r>
        <w:rPr>
          <w:rFonts w:ascii="Arial" w:eastAsia="Arial" w:hAnsi="Arial" w:cs="Arial"/>
          <w:b/>
        </w:rPr>
        <w:t>Caminos artesanales a comunidades ind</w:t>
      </w:r>
      <w:r>
        <w:rPr>
          <w:rFonts w:ascii="Arial" w:eastAsia="Arial" w:hAnsi="Arial" w:cs="Arial"/>
          <w:b/>
        </w:rPr>
        <w:t>ígenas</w:t>
      </w:r>
      <w:r>
        <w:rPr>
          <w:rFonts w:ascii="Arial" w:eastAsia="Arial" w:hAnsi="Arial" w:cs="Arial"/>
        </w:rPr>
        <w:t xml:space="preserve">. </w:t>
      </w:r>
    </w:p>
    <w:p w14:paraId="064D9BCC" w14:textId="77777777" w:rsidR="00234EA0" w:rsidRDefault="00234EA0">
      <w:pPr>
        <w:spacing w:after="0" w:line="360" w:lineRule="auto"/>
        <w:jc w:val="both"/>
        <w:rPr>
          <w:rFonts w:ascii="Arial" w:eastAsia="Arial" w:hAnsi="Arial" w:cs="Arial"/>
        </w:rPr>
      </w:pPr>
    </w:p>
    <w:p w14:paraId="6A5E88E5" w14:textId="77777777" w:rsidR="00234EA0" w:rsidRDefault="008367E3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ECONÓMICO. - </w:t>
      </w:r>
      <w:r>
        <w:rPr>
          <w:rFonts w:ascii="Arial" w:eastAsia="Arial" w:hAnsi="Arial" w:cs="Arial"/>
        </w:rPr>
        <w:t xml:space="preserve">Aprobado que sea, </w:t>
      </w:r>
      <w:proofErr w:type="spellStart"/>
      <w:r>
        <w:rPr>
          <w:rFonts w:ascii="Arial" w:eastAsia="Arial" w:hAnsi="Arial" w:cs="Arial"/>
        </w:rPr>
        <w:t>turnese</w:t>
      </w:r>
      <w:proofErr w:type="spellEnd"/>
      <w:r>
        <w:rPr>
          <w:rFonts w:ascii="Arial" w:eastAsia="Arial" w:hAnsi="Arial" w:cs="Arial"/>
        </w:rPr>
        <w:t xml:space="preserve"> a la Secretaría para que se elabore la minuta en los términos correspondientes, así como remita copia del mismo a las autoridades competentes, para los efectos que haya lugar.</w:t>
      </w:r>
    </w:p>
    <w:p w14:paraId="47B6A457" w14:textId="77777777" w:rsidR="00234EA0" w:rsidRDefault="00234EA0">
      <w:pPr>
        <w:spacing w:after="0" w:line="360" w:lineRule="auto"/>
        <w:jc w:val="both"/>
        <w:rPr>
          <w:rFonts w:ascii="Arial" w:eastAsia="Arial" w:hAnsi="Arial" w:cs="Arial"/>
        </w:rPr>
      </w:pPr>
    </w:p>
    <w:p w14:paraId="44CB6DB4" w14:textId="77777777" w:rsidR="00234EA0" w:rsidRDefault="008367E3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Dado en el Palacio Legislativo</w:t>
      </w:r>
      <w:r>
        <w:rPr>
          <w:rFonts w:ascii="Arial" w:eastAsia="Arial" w:hAnsi="Arial" w:cs="Arial"/>
        </w:rPr>
        <w:t xml:space="preserve"> del Estado de Chihuahua, a los </w:t>
      </w:r>
      <w:r>
        <w:rPr>
          <w:rFonts w:ascii="Arial" w:eastAsia="Arial" w:hAnsi="Arial" w:cs="Arial"/>
          <w:b/>
        </w:rPr>
        <w:t xml:space="preserve">04 días del mes de </w:t>
      </w:r>
      <w:proofErr w:type="gramStart"/>
      <w:r>
        <w:rPr>
          <w:rFonts w:ascii="Arial" w:eastAsia="Arial" w:hAnsi="Arial" w:cs="Arial"/>
          <w:b/>
        </w:rPr>
        <w:t>Octubre</w:t>
      </w:r>
      <w:proofErr w:type="gramEnd"/>
      <w:r>
        <w:rPr>
          <w:rFonts w:ascii="Arial" w:eastAsia="Arial" w:hAnsi="Arial" w:cs="Arial"/>
          <w:b/>
        </w:rPr>
        <w:t xml:space="preserve"> del año dos mil veinticuatro</w:t>
      </w:r>
      <w:r>
        <w:rPr>
          <w:rFonts w:ascii="Arial" w:eastAsia="Arial" w:hAnsi="Arial" w:cs="Arial"/>
        </w:rPr>
        <w:t>.</w:t>
      </w:r>
    </w:p>
    <w:p w14:paraId="4B3C72E6" w14:textId="77777777" w:rsidR="00234EA0" w:rsidRDefault="00234EA0">
      <w:pPr>
        <w:spacing w:after="0" w:line="360" w:lineRule="auto"/>
        <w:jc w:val="both"/>
        <w:rPr>
          <w:rFonts w:ascii="Arial" w:eastAsia="Arial" w:hAnsi="Arial" w:cs="Arial"/>
        </w:rPr>
      </w:pPr>
    </w:p>
    <w:p w14:paraId="6910B998" w14:textId="77777777" w:rsidR="00234EA0" w:rsidRDefault="00234EA0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41ACE678" w14:textId="77777777" w:rsidR="00234EA0" w:rsidRDefault="008367E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211252CD" w14:textId="77777777" w:rsidR="00234EA0" w:rsidRDefault="00234EA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FF47B5" w14:textId="77777777" w:rsidR="00234EA0" w:rsidRDefault="00234EA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A6EBE4D" w14:textId="77777777" w:rsidR="00234EA0" w:rsidRDefault="00234EA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8757C2" w14:textId="77777777" w:rsidR="00234EA0" w:rsidRDefault="00234EA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43E6167" w14:textId="77777777" w:rsidR="00234EA0" w:rsidRDefault="008367E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DIPUTADO OCTAVIO BORUNDA QUEVEDO</w:t>
      </w:r>
    </w:p>
    <w:p w14:paraId="782B8189" w14:textId="77777777" w:rsidR="00234EA0" w:rsidRDefault="008367E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PARTIDO VERDE ECOLOGISTA DE MÉXICO</w:t>
      </w:r>
    </w:p>
    <w:p w14:paraId="38154BCC" w14:textId="77777777" w:rsidR="00234EA0" w:rsidRDefault="00234EA0">
      <w:pPr>
        <w:tabs>
          <w:tab w:val="left" w:pos="3180"/>
        </w:tabs>
        <w:rPr>
          <w:rFonts w:ascii="Arial" w:eastAsia="Arial" w:hAnsi="Arial" w:cs="Arial"/>
        </w:rPr>
      </w:pPr>
    </w:p>
    <w:sectPr w:rsidR="00234EA0">
      <w:headerReference w:type="default" r:id="rId8"/>
      <w:footerReference w:type="default" r:id="rId9"/>
      <w:pgSz w:w="12240" w:h="15840"/>
      <w:pgMar w:top="170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B9BB" w14:textId="77777777" w:rsidR="008367E3" w:rsidRDefault="008367E3">
      <w:pPr>
        <w:spacing w:after="0" w:line="240" w:lineRule="auto"/>
      </w:pPr>
      <w:r>
        <w:separator/>
      </w:r>
    </w:p>
  </w:endnote>
  <w:endnote w:type="continuationSeparator" w:id="0">
    <w:p w14:paraId="4B3FB11F" w14:textId="77777777" w:rsidR="008367E3" w:rsidRDefault="0083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SemiBold SemiConden">
    <w:panose1 w:val="020B0502040204020203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5EEB" w14:textId="77777777" w:rsidR="00234EA0" w:rsidRDefault="00836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655B22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  <w:r>
      <w:rPr>
        <w:noProof/>
      </w:rPr>
      <w:drawing>
        <wp:anchor distT="0" distB="0" distL="0" distR="0" simplePos="0" relativeHeight="251661312" behindDoc="1" locked="0" layoutInCell="1" hidden="0" allowOverlap="1" wp14:anchorId="003633B2" wp14:editId="3A69F022">
          <wp:simplePos x="0" y="0"/>
          <wp:positionH relativeFrom="column">
            <wp:posOffset>4990465</wp:posOffset>
          </wp:positionH>
          <wp:positionV relativeFrom="paragraph">
            <wp:posOffset>-123824</wp:posOffset>
          </wp:positionV>
          <wp:extent cx="572770" cy="572770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B42586" w14:textId="77777777" w:rsidR="00234EA0" w:rsidRDefault="00234E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6292" w14:textId="77777777" w:rsidR="008367E3" w:rsidRDefault="008367E3">
      <w:pPr>
        <w:spacing w:after="0" w:line="240" w:lineRule="auto"/>
      </w:pPr>
      <w:r>
        <w:separator/>
      </w:r>
    </w:p>
  </w:footnote>
  <w:footnote w:type="continuationSeparator" w:id="0">
    <w:p w14:paraId="0A734345" w14:textId="77777777" w:rsidR="008367E3" w:rsidRDefault="008367E3">
      <w:pPr>
        <w:spacing w:after="0" w:line="240" w:lineRule="auto"/>
      </w:pPr>
      <w:r>
        <w:continuationSeparator/>
      </w:r>
    </w:p>
  </w:footnote>
  <w:footnote w:id="1">
    <w:p w14:paraId="0D2E123C" w14:textId="77777777" w:rsidR="00234EA0" w:rsidRDefault="0083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b/>
          <w:color w:val="000000"/>
          <w:sz w:val="20"/>
          <w:szCs w:val="20"/>
        </w:rPr>
        <w:t>Trabajan Estado y Municipio en rehabilitación de camino en Guazapares</w:t>
      </w:r>
      <w:r>
        <w:rPr>
          <w:rFonts w:cs="Calibri"/>
          <w:color w:val="000000"/>
          <w:sz w:val="20"/>
          <w:szCs w:val="20"/>
        </w:rPr>
        <w:t xml:space="preserve">; Gobierno del Estado de Chihuahua </w:t>
      </w:r>
      <w:hyperlink r:id="rId1">
        <w:r>
          <w:rPr>
            <w:rFonts w:cs="Calibri"/>
            <w:color w:val="0563C1"/>
            <w:sz w:val="20"/>
            <w:szCs w:val="20"/>
            <w:u w:val="single"/>
          </w:rPr>
          <w:t>https://chihuahua.gob.mx/prensa/trabajan-estado-y-municipio-en-rehabilitacion-de-camino-en-guazapares</w:t>
        </w:r>
      </w:hyperlink>
      <w:r>
        <w:rPr>
          <w:rFonts w:cs="Calibri"/>
          <w:color w:val="000000"/>
          <w:sz w:val="20"/>
          <w:szCs w:val="20"/>
        </w:rPr>
        <w:t>;; Consultado el 30 de septiembre de</w:t>
      </w:r>
      <w:r>
        <w:rPr>
          <w:rFonts w:cs="Calibri"/>
          <w:color w:val="000000"/>
          <w:sz w:val="20"/>
          <w:szCs w:val="20"/>
        </w:rPr>
        <w:t xml:space="preserve"> 2024 a las 18:00 horas. </w:t>
      </w:r>
    </w:p>
  </w:footnote>
  <w:footnote w:id="2">
    <w:p w14:paraId="3B7E4D68" w14:textId="77777777" w:rsidR="00234EA0" w:rsidRDefault="0083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¿Qué es la infraestructura carretera?; Revista Infraestructura; </w:t>
      </w:r>
      <w:hyperlink r:id="rId2">
        <w:r>
          <w:rPr>
            <w:rFonts w:cs="Calibri"/>
            <w:color w:val="0563C1"/>
            <w:sz w:val="20"/>
            <w:szCs w:val="20"/>
            <w:u w:val="single"/>
          </w:rPr>
          <w:t>https://www.revistainfraestructura.com.mx/que-es-la-infraestructura</w:t>
        </w:r>
        <w:r>
          <w:rPr>
            <w:rFonts w:cs="Calibri"/>
            <w:color w:val="0563C1"/>
            <w:sz w:val="20"/>
            <w:szCs w:val="20"/>
            <w:u w:val="single"/>
          </w:rPr>
          <w:t>-carretera/</w:t>
        </w:r>
      </w:hyperlink>
      <w:r>
        <w:rPr>
          <w:rFonts w:cs="Calibri"/>
          <w:color w:val="000000"/>
          <w:sz w:val="20"/>
          <w:szCs w:val="20"/>
        </w:rPr>
        <w:t xml:space="preserve">; consultado el 30 de septiembre de 2024 a las 18:20 horas.  </w:t>
      </w:r>
    </w:p>
  </w:footnote>
  <w:footnote w:id="3">
    <w:p w14:paraId="776C5ECD" w14:textId="77777777" w:rsidR="00234EA0" w:rsidRDefault="0083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Destinarán 250 </w:t>
      </w:r>
      <w:proofErr w:type="spellStart"/>
      <w:r>
        <w:rPr>
          <w:rFonts w:cs="Calibri"/>
          <w:color w:val="000000"/>
          <w:sz w:val="20"/>
          <w:szCs w:val="20"/>
        </w:rPr>
        <w:t>mdp</w:t>
      </w:r>
      <w:proofErr w:type="spellEnd"/>
      <w:r>
        <w:rPr>
          <w:rFonts w:cs="Calibri"/>
          <w:color w:val="000000"/>
          <w:sz w:val="20"/>
          <w:szCs w:val="20"/>
        </w:rPr>
        <w:t xml:space="preserve"> para construir caminos en 5 municipios; </w:t>
      </w:r>
      <w:proofErr w:type="spellStart"/>
      <w:r>
        <w:rPr>
          <w:rFonts w:cs="Calibri"/>
          <w:color w:val="000000"/>
          <w:sz w:val="20"/>
          <w:szCs w:val="20"/>
        </w:rPr>
        <w:t>NetNoticias</w:t>
      </w:r>
      <w:proofErr w:type="spellEnd"/>
      <w:r>
        <w:rPr>
          <w:rFonts w:cs="Calibri"/>
          <w:color w:val="000000"/>
          <w:sz w:val="20"/>
          <w:szCs w:val="20"/>
        </w:rPr>
        <w:t xml:space="preserve">; </w:t>
      </w:r>
      <w:hyperlink r:id="rId3">
        <w:r>
          <w:rPr>
            <w:rFonts w:cs="Calibri"/>
            <w:color w:val="0563C1"/>
            <w:sz w:val="20"/>
            <w:szCs w:val="20"/>
            <w:u w:val="single"/>
          </w:rPr>
          <w:t>h</w:t>
        </w:r>
        <w:r>
          <w:rPr>
            <w:rFonts w:cs="Calibri"/>
            <w:color w:val="0563C1"/>
            <w:sz w:val="20"/>
            <w:szCs w:val="20"/>
            <w:u w:val="single"/>
          </w:rPr>
          <w:t>ttps://netnoticias.mx/estatal/destinaran-250-mdp-para-construir-caminos-en-5-municipios</w:t>
        </w:r>
      </w:hyperlink>
      <w:r>
        <w:rPr>
          <w:rFonts w:cs="Calibri"/>
          <w:color w:val="000000"/>
          <w:sz w:val="20"/>
          <w:szCs w:val="20"/>
        </w:rPr>
        <w:t xml:space="preserve">; consultado el 30 de septiembre de 2024 a las 18:30 horas.  </w:t>
      </w:r>
    </w:p>
  </w:footnote>
  <w:footnote w:id="4">
    <w:p w14:paraId="137DDE61" w14:textId="77777777" w:rsidR="00234EA0" w:rsidRDefault="0083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/>
        <w:rPr>
          <w:rFonts w:cs="Calibri"/>
          <w:b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Programa para el Bienestar Integral De Los Pueblos Indígenas (PROBIPI); Instituto Nacional de los Pueblos </w:t>
      </w:r>
      <w:r>
        <w:rPr>
          <w:rFonts w:cs="Calibri"/>
          <w:color w:val="000000"/>
          <w:sz w:val="20"/>
          <w:szCs w:val="20"/>
        </w:rPr>
        <w:t xml:space="preserve">Indígenas; </w:t>
      </w:r>
      <w:hyperlink r:id="rId4">
        <w:r>
          <w:rPr>
            <w:rFonts w:cs="Calibri"/>
            <w:color w:val="0563C1"/>
            <w:sz w:val="20"/>
            <w:szCs w:val="20"/>
            <w:u w:val="single"/>
          </w:rPr>
          <w:t>https://www.inpi.gob.mx/focalizada/2023/probipi/infraestructura/index.html</w:t>
        </w:r>
      </w:hyperlink>
      <w:r>
        <w:rPr>
          <w:rFonts w:cs="Calibri"/>
          <w:color w:val="000000"/>
          <w:sz w:val="20"/>
          <w:szCs w:val="20"/>
        </w:rPr>
        <w:t xml:space="preserve">; consultado el 30 de septiembre 19:00 horas.  </w:t>
      </w:r>
    </w:p>
  </w:footnote>
  <w:footnote w:id="5">
    <w:p w14:paraId="5EC8E51C" w14:textId="77777777" w:rsidR="00234EA0" w:rsidRDefault="0083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REGLAS DE OPERACIÓN DEL PRO</w:t>
      </w:r>
      <w:r>
        <w:rPr>
          <w:rFonts w:cs="Calibri"/>
          <w:color w:val="000000"/>
          <w:sz w:val="20"/>
          <w:szCs w:val="20"/>
        </w:rPr>
        <w:t xml:space="preserve">GRAMA PARA EL BIENESTAR INTEGRAL DE LOS PUEBLOS INDÍGENAS “PROBIPI”; disponible en </w:t>
      </w:r>
      <w:hyperlink r:id="rId5">
        <w:r>
          <w:rPr>
            <w:rFonts w:cs="Calibri"/>
            <w:color w:val="0563C1"/>
            <w:sz w:val="20"/>
            <w:szCs w:val="20"/>
            <w:u w:val="single"/>
          </w:rPr>
          <w:t>https://www.gob.mx/inpi/documentos/reglas-de-operacion-2024-de-los-p</w:t>
        </w:r>
        <w:r>
          <w:rPr>
            <w:rFonts w:cs="Calibri"/>
            <w:color w:val="0563C1"/>
            <w:sz w:val="20"/>
            <w:szCs w:val="20"/>
            <w:u w:val="single"/>
          </w:rPr>
          <w:t>rogramas-del-inpi</w:t>
        </w:r>
      </w:hyperlink>
      <w:r>
        <w:rPr>
          <w:rFonts w:cs="Calibri"/>
          <w:color w:val="000000"/>
          <w:sz w:val="20"/>
          <w:szCs w:val="20"/>
        </w:rPr>
        <w:t xml:space="preserve">; Consultado el 30 de septiembre de 2024 a las 19:15 horas.   </w:t>
      </w:r>
    </w:p>
  </w:footnote>
  <w:footnote w:id="6">
    <w:p w14:paraId="5C0A5403" w14:textId="77777777" w:rsidR="00234EA0" w:rsidRDefault="0083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cs="Calibri"/>
          <w:color w:val="000000"/>
          <w:sz w:val="20"/>
          <w:szCs w:val="20"/>
        </w:rPr>
        <w:t xml:space="preserve"> Ibidem.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0051" w14:textId="77777777" w:rsidR="00234EA0" w:rsidRDefault="00836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940"/>
      </w:tabs>
      <w:spacing w:after="0" w:line="240" w:lineRule="auto"/>
      <w:jc w:val="center"/>
      <w:rPr>
        <w:rFonts w:ascii="Bahnschrift SemiBold SemiConden" w:eastAsia="Bahnschrift SemiBold SemiConden" w:hAnsi="Bahnschrift SemiBold SemiConden" w:cs="Bahnschrift SemiBold SemiConden"/>
        <w:b/>
        <w:color w:val="000000"/>
        <w:sz w:val="28"/>
        <w:szCs w:val="28"/>
      </w:rPr>
    </w:pPr>
    <w:r>
      <w:rPr>
        <w:rFonts w:ascii="Bahnschrift SemiBold SemiConden" w:eastAsia="Bahnschrift SemiBold SemiConden" w:hAnsi="Bahnschrift SemiBold SemiConden" w:cs="Bahnschrift SemiBold SemiConden"/>
        <w:b/>
        <w:color w:val="000000"/>
        <w:sz w:val="28"/>
        <w:szCs w:val="28"/>
      </w:rPr>
      <w:t xml:space="preserve">                                       DIP.  Octavio Javier Borunda Quevedo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8024F8B" wp14:editId="3BB2647C">
          <wp:simplePos x="0" y="0"/>
          <wp:positionH relativeFrom="column">
            <wp:posOffset>-51434</wp:posOffset>
          </wp:positionH>
          <wp:positionV relativeFrom="paragraph">
            <wp:posOffset>-208278</wp:posOffset>
          </wp:positionV>
          <wp:extent cx="977900" cy="977900"/>
          <wp:effectExtent l="0" t="0" r="0" b="0"/>
          <wp:wrapNone/>
          <wp:docPr id="1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7900" cy="977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45C5AC7B" wp14:editId="4B76D6CE">
          <wp:simplePos x="0" y="0"/>
          <wp:positionH relativeFrom="column">
            <wp:posOffset>939165</wp:posOffset>
          </wp:positionH>
          <wp:positionV relativeFrom="paragraph">
            <wp:posOffset>101600</wp:posOffset>
          </wp:positionV>
          <wp:extent cx="800100" cy="331343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3313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910A60" w14:textId="77777777" w:rsidR="00234EA0" w:rsidRDefault="00836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60"/>
      </w:tabs>
      <w:spacing w:after="0" w:line="240" w:lineRule="auto"/>
      <w:jc w:val="center"/>
      <w:rPr>
        <w:rFonts w:ascii="Bahnschrift SemiBold SemiConden" w:eastAsia="Bahnschrift SemiBold SemiConden" w:hAnsi="Bahnschrift SemiBold SemiConden" w:cs="Bahnschrift SemiBold SemiConden"/>
        <w:b/>
        <w:color w:val="000000"/>
        <w:sz w:val="24"/>
        <w:szCs w:val="24"/>
      </w:rPr>
    </w:pPr>
    <w:r>
      <w:rPr>
        <w:rFonts w:ascii="Bahnschrift SemiBold SemiConden" w:eastAsia="Bahnschrift SemiBold SemiConden" w:hAnsi="Bahnschrift SemiBold SemiConden" w:cs="Bahnschrift SemiBold SemiConden"/>
        <w:b/>
        <w:color w:val="000000"/>
        <w:sz w:val="24"/>
        <w:szCs w:val="24"/>
      </w:rPr>
      <w:t xml:space="preserve">                                              Partido Verde Ecologista de México</w:t>
    </w:r>
  </w:p>
  <w:p w14:paraId="0A47F4BF" w14:textId="77777777" w:rsidR="00234EA0" w:rsidRDefault="00836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60"/>
      </w:tabs>
      <w:spacing w:after="0" w:line="240" w:lineRule="auto"/>
      <w:jc w:val="center"/>
      <w:rPr>
        <w:rFonts w:ascii="Bahnschrift SemiBold SemiConden" w:eastAsia="Bahnschrift SemiBold SemiConden" w:hAnsi="Bahnschrift SemiBold SemiConden" w:cs="Bahnschrift SemiBold SemiConden"/>
        <w:i/>
        <w:color w:val="000000"/>
        <w:sz w:val="24"/>
        <w:szCs w:val="24"/>
      </w:rPr>
    </w:pPr>
    <w:r>
      <w:rPr>
        <w:rFonts w:ascii="Bahnschrift SemiBold SemiConden" w:eastAsia="Bahnschrift SemiBold SemiConden" w:hAnsi="Bahnschrift SemiBold SemiConden" w:cs="Bahnschrift SemiBold SemiConden"/>
        <w:i/>
        <w:color w:val="000000"/>
        <w:sz w:val="24"/>
        <w:szCs w:val="24"/>
      </w:rPr>
      <w:t xml:space="preserve">                          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91B7ACC" wp14:editId="1E42B569">
              <wp:simplePos x="0" y="0"/>
              <wp:positionH relativeFrom="column">
                <wp:posOffset>1917700</wp:posOffset>
              </wp:positionH>
              <wp:positionV relativeFrom="paragraph">
                <wp:posOffset>63500</wp:posOffset>
              </wp:positionV>
              <wp:extent cx="3476625" cy="60325"/>
              <wp:effectExtent l="0" t="0" r="0" b="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12450" y="3754600"/>
                        <a:ext cx="3467100" cy="50800"/>
                      </a:xfrm>
                      <a:prstGeom prst="rect">
                        <a:avLst/>
                      </a:prstGeom>
                      <a:solidFill>
                        <a:srgbClr val="7A5D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97A7A9" w14:textId="77777777" w:rsidR="00234EA0" w:rsidRDefault="00234EA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63500</wp:posOffset>
              </wp:positionV>
              <wp:extent cx="3476625" cy="60325"/>
              <wp:effectExtent b="0" l="0" r="0" t="0"/>
              <wp:wrapNone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6625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584FE22" w14:textId="77777777" w:rsidR="00234EA0" w:rsidRDefault="00836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60"/>
      </w:tabs>
      <w:spacing w:after="0" w:line="240" w:lineRule="auto"/>
      <w:jc w:val="right"/>
      <w:rPr>
        <w:rFonts w:ascii="Bahnschrift SemiBold SemiConden" w:eastAsia="Bahnschrift SemiBold SemiConden" w:hAnsi="Bahnschrift SemiBold SemiConden" w:cs="Bahnschrift SemiBold SemiConden"/>
        <w:i/>
        <w:color w:val="385623"/>
        <w:sz w:val="24"/>
        <w:szCs w:val="24"/>
      </w:rPr>
    </w:pPr>
    <w:r>
      <w:rPr>
        <w:rFonts w:ascii="Bahnschrift SemiBold SemiConden" w:eastAsia="Bahnschrift SemiBold SemiConden" w:hAnsi="Bahnschrift SemiBold SemiConden" w:cs="Bahnschrift SemiBold SemiConden"/>
        <w:i/>
        <w:color w:val="000000"/>
        <w:sz w:val="24"/>
        <w:szCs w:val="24"/>
      </w:rPr>
      <w:t>“2024, Año del Bicentenario de la Fundación del Estado de Chihuahua”</w:t>
    </w:r>
  </w:p>
  <w:p w14:paraId="5A162169" w14:textId="77777777" w:rsidR="00234EA0" w:rsidRDefault="00836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Bahnschrift SemiBold SemiConden" w:eastAsia="Bahnschrift SemiBold SemiConden" w:hAnsi="Bahnschrift SemiBold SemiConden" w:cs="Bahnschrift SemiBold SemiConden"/>
        <w:b/>
        <w:color w:val="385623"/>
        <w:sz w:val="24"/>
        <w:szCs w:val="24"/>
      </w:rPr>
    </w:pPr>
    <w:r>
      <w:rPr>
        <w:rFonts w:ascii="Bahnschrift SemiBold SemiConden" w:eastAsia="Bahnschrift SemiBold SemiConden" w:hAnsi="Bahnschrift SemiBold SemiConden" w:cs="Bahnschrift SemiBold SemiConden"/>
        <w:b/>
        <w:color w:val="000000"/>
        <w:sz w:val="24"/>
        <w:szCs w:val="24"/>
      </w:rPr>
      <w:t xml:space="preserve"> </w:t>
    </w:r>
  </w:p>
  <w:p w14:paraId="1E0CA8CA" w14:textId="77777777" w:rsidR="00234EA0" w:rsidRDefault="00234E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Bahnschrift SemiBold SemiConden" w:eastAsia="Bahnschrift SemiBold SemiConden" w:hAnsi="Bahnschrift SemiBold SemiConden" w:cs="Bahnschrift SemiBold SemiConden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B0918"/>
    <w:multiLevelType w:val="multilevel"/>
    <w:tmpl w:val="1F0C72F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EA0"/>
    <w:rsid w:val="00234EA0"/>
    <w:rsid w:val="003C1AC0"/>
    <w:rsid w:val="00655B22"/>
    <w:rsid w:val="0083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D46DA"/>
  <w15:docId w15:val="{B5E38604-83B9-48C8-B8C3-A0270BAF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64E"/>
    <w:rPr>
      <w:rFonts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B6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16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character" w:customStyle="1" w:styleId="Ttulo2Car">
    <w:name w:val="Título 2 Car"/>
    <w:basedOn w:val="Fuentedeprrafopredeter"/>
    <w:link w:val="Ttulo2"/>
    <w:uiPriority w:val="9"/>
    <w:semiHidden/>
    <w:rsid w:val="003A16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53705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2B6B3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B6B3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6B3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B6B35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B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2B6B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6B3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etnoticias.mx/estatal/destinaran-250-mdp-para-construir-caminos-en-5-municipios" TargetMode="External"/><Relationship Id="rId2" Type="http://schemas.openxmlformats.org/officeDocument/2006/relationships/hyperlink" Target="https://www.revistainfraestructura.com.mx/que-es-la-infraestructura-carretera/" TargetMode="External"/><Relationship Id="rId1" Type="http://schemas.openxmlformats.org/officeDocument/2006/relationships/hyperlink" Target="https://chihuahua.gob.mx/prensa/trabajan-estado-y-municipio-en-rehabilitacion-de-camino-en-guazapares" TargetMode="External"/><Relationship Id="rId5" Type="http://schemas.openxmlformats.org/officeDocument/2006/relationships/hyperlink" Target="https://www.gob.mx/inpi/documentos/reglas-de-operacion-2024-de-los-programas-del-inpi" TargetMode="External"/><Relationship Id="rId4" Type="http://schemas.openxmlformats.org/officeDocument/2006/relationships/hyperlink" Target="https://www.inpi.gob.mx/focalizada/2023/probipi/infraestructura/index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+87frJJYQxsOOJOmiuVmihuYA==">CgMxLjAyCGguZ2pkZ3hzMgloLjMwajB6bGw4AHIhMTc4Y19ibjdzLTZGMVkxTXAtT1drSDAxRnYyRFNJcDgw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Alejandro Tarango Chavira</dc:creator>
  <cp:lastModifiedBy>Brenda Sarahi Gonzalez Dominguez</cp:lastModifiedBy>
  <cp:revision>2</cp:revision>
  <dcterms:created xsi:type="dcterms:W3CDTF">2024-10-04T16:33:00Z</dcterms:created>
  <dcterms:modified xsi:type="dcterms:W3CDTF">2024-10-04T16:33:00Z</dcterms:modified>
</cp:coreProperties>
</file>