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98776" w14:textId="77777777" w:rsidR="003E1B0D" w:rsidRDefault="003E1B0D">
      <w:pPr>
        <w:spacing w:after="0" w:line="312" w:lineRule="auto"/>
        <w:jc w:val="both"/>
        <w:rPr>
          <w:rFonts w:ascii="Arial" w:hAnsi="Arial" w:cs="Arial"/>
          <w:b/>
          <w:sz w:val="24"/>
          <w:szCs w:val="24"/>
          <w:lang w:val="es-ES"/>
        </w:rPr>
      </w:pPr>
    </w:p>
    <w:p w14:paraId="2A128EF0" w14:textId="7B854C35" w:rsidR="00FB782D" w:rsidRPr="00F1519D" w:rsidRDefault="00FC6DF5">
      <w:pPr>
        <w:spacing w:after="0" w:line="312" w:lineRule="auto"/>
        <w:jc w:val="both"/>
        <w:rPr>
          <w:rFonts w:ascii="Arial" w:hAnsi="Arial" w:cs="Arial"/>
          <w:b/>
          <w:sz w:val="24"/>
          <w:szCs w:val="24"/>
          <w:lang w:val="es-ES"/>
        </w:rPr>
      </w:pPr>
      <w:r w:rsidRPr="00F1519D">
        <w:rPr>
          <w:rFonts w:ascii="Arial" w:hAnsi="Arial" w:cs="Arial"/>
          <w:b/>
          <w:sz w:val="24"/>
          <w:szCs w:val="24"/>
          <w:lang w:val="es-ES"/>
        </w:rPr>
        <w:t>H. CONGRESO DEL ESTADO DE CHIHUAHUA</w:t>
      </w:r>
    </w:p>
    <w:p w14:paraId="25025D10" w14:textId="77777777" w:rsidR="00FB782D" w:rsidRPr="00F1519D" w:rsidRDefault="00FC6DF5">
      <w:pPr>
        <w:spacing w:after="0" w:line="312" w:lineRule="auto"/>
        <w:jc w:val="both"/>
        <w:rPr>
          <w:rFonts w:ascii="Arial" w:hAnsi="Arial" w:cs="Arial"/>
          <w:b/>
          <w:sz w:val="24"/>
          <w:szCs w:val="24"/>
          <w:lang w:val="es-ES"/>
        </w:rPr>
      </w:pPr>
      <w:r w:rsidRPr="00F1519D">
        <w:rPr>
          <w:rFonts w:ascii="Arial" w:hAnsi="Arial" w:cs="Arial"/>
          <w:b/>
          <w:sz w:val="24"/>
          <w:szCs w:val="24"/>
          <w:lang w:val="es-ES"/>
        </w:rPr>
        <w:t>PRESENTE. -</w:t>
      </w:r>
    </w:p>
    <w:p w14:paraId="66B8FA6A" w14:textId="77777777" w:rsidR="00FB782D" w:rsidRPr="00F1519D" w:rsidRDefault="00FB782D">
      <w:pPr>
        <w:spacing w:line="312" w:lineRule="auto"/>
        <w:jc w:val="both"/>
        <w:rPr>
          <w:rFonts w:ascii="Arial" w:hAnsi="Arial" w:cs="Arial"/>
          <w:sz w:val="24"/>
          <w:szCs w:val="24"/>
          <w:lang w:val="es-ES"/>
        </w:rPr>
      </w:pPr>
    </w:p>
    <w:p w14:paraId="616B98E9" w14:textId="77777777" w:rsidR="00FB782D" w:rsidRPr="00F1519D" w:rsidRDefault="00FC6DF5">
      <w:pPr>
        <w:spacing w:line="312" w:lineRule="auto"/>
        <w:jc w:val="both"/>
        <w:rPr>
          <w:rFonts w:ascii="Arial" w:hAnsi="Arial" w:cs="Arial"/>
          <w:sz w:val="24"/>
          <w:szCs w:val="24"/>
          <w:lang w:val="es-ES"/>
        </w:rPr>
      </w:pPr>
      <w:r w:rsidRPr="00F1519D">
        <w:rPr>
          <w:rFonts w:ascii="Arial" w:hAnsi="Arial" w:cs="Arial"/>
          <w:b/>
          <w:sz w:val="24"/>
          <w:szCs w:val="24"/>
          <w:lang w:val="es-ES"/>
        </w:rPr>
        <w:t>Mtra. María Eugenia Campos Galván</w:t>
      </w:r>
      <w:r w:rsidRPr="00F1519D">
        <w:rPr>
          <w:rFonts w:ascii="Arial" w:hAnsi="Arial" w:cs="Arial"/>
          <w:sz w:val="24"/>
          <w:szCs w:val="24"/>
          <w:lang w:val="es-ES"/>
        </w:rPr>
        <w:t>, Gobernadora Constitucional del Estado de Chihuahua, con fundamento en los artículos 68 fracción II y 93 fracción VI de la Constitución Política del Estado de Chihuahua, me permito someter a consideración de esta soberanía la presente iniciativa con carácter de Decreto, al tenor de la siguiente:</w:t>
      </w:r>
    </w:p>
    <w:p w14:paraId="77D60BC4" w14:textId="77777777" w:rsidR="00FB782D" w:rsidRPr="00F1519D" w:rsidRDefault="00FB782D">
      <w:pPr>
        <w:spacing w:line="312" w:lineRule="auto"/>
        <w:jc w:val="both"/>
        <w:rPr>
          <w:rFonts w:ascii="Arial" w:hAnsi="Arial" w:cs="Arial"/>
          <w:b/>
          <w:sz w:val="24"/>
          <w:szCs w:val="24"/>
        </w:rPr>
      </w:pPr>
    </w:p>
    <w:p w14:paraId="14DFB815" w14:textId="77777777" w:rsidR="00FB782D" w:rsidRPr="00F1519D" w:rsidRDefault="00FC6DF5">
      <w:pPr>
        <w:spacing w:line="312" w:lineRule="auto"/>
        <w:jc w:val="center"/>
        <w:rPr>
          <w:rFonts w:ascii="Arial" w:hAnsi="Arial" w:cs="Arial"/>
          <w:b/>
          <w:sz w:val="24"/>
          <w:szCs w:val="24"/>
        </w:rPr>
      </w:pPr>
      <w:r w:rsidRPr="00F1519D">
        <w:rPr>
          <w:rFonts w:ascii="Arial" w:hAnsi="Arial" w:cs="Arial"/>
          <w:b/>
          <w:sz w:val="24"/>
          <w:szCs w:val="24"/>
        </w:rPr>
        <w:t>EXPOSICIÓN DE MOTIVOS</w:t>
      </w:r>
    </w:p>
    <w:p w14:paraId="35D1C091" w14:textId="77777777" w:rsidR="00FB782D" w:rsidRPr="00F1519D" w:rsidRDefault="00FB782D">
      <w:pPr>
        <w:spacing w:line="312" w:lineRule="auto"/>
        <w:jc w:val="center"/>
        <w:rPr>
          <w:rFonts w:ascii="Arial" w:hAnsi="Arial" w:cs="Arial"/>
          <w:b/>
          <w:sz w:val="24"/>
          <w:szCs w:val="24"/>
        </w:rPr>
      </w:pPr>
    </w:p>
    <w:p w14:paraId="5A94DC9B" w14:textId="2B518A08"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 xml:space="preserve">Mediante el Decreto número LXVI/AUCEP/0746/2020 IX P.E., publicado en el Periódico Oficial del Estado el día 18 de julio de 2020, el H. Congreso del Estado autorizó al Ejecutivo del Estado </w:t>
      </w:r>
      <w:r w:rsidRPr="00F1519D">
        <w:rPr>
          <w:rFonts w:ascii="Arial" w:hAnsi="Arial" w:cs="Arial"/>
          <w:sz w:val="24"/>
          <w:szCs w:val="24"/>
        </w:rPr>
        <w:t>para que, por conducto de la Secretaría de Hacienda, en su carácter de fideicomitente único de la Administración Pública Centralizada Estatal, formalice el</w:t>
      </w:r>
      <w:r w:rsidRPr="00F1519D">
        <w:rPr>
          <w:rFonts w:ascii="Arial" w:hAnsi="Arial" w:cs="Arial"/>
          <w:sz w:val="24"/>
          <w:szCs w:val="24"/>
          <w:lang w:val="es-ES"/>
        </w:rPr>
        <w:t xml:space="preserve"> contrato de fideicomiso denominado “Fideicomiso Maestro SIT Chihuahua”, cuyo objetivo consiste en la implementación de un modelo integrado, multimodal e interoperable de transporte, el cual recibe e integra los recursos económicos que ingresan por la venta de pasajes y el sistema de recaudo, dispersándolos de manera transparente conforme a las instrucciones del Comité Técnico.</w:t>
      </w:r>
    </w:p>
    <w:p w14:paraId="51052DEF" w14:textId="77777777" w:rsidR="00FB782D" w:rsidRPr="00F1519D" w:rsidRDefault="00FC6DF5">
      <w:pPr>
        <w:spacing w:line="312" w:lineRule="auto"/>
        <w:jc w:val="both"/>
        <w:rPr>
          <w:rFonts w:ascii="Arial" w:hAnsi="Arial" w:cs="Arial"/>
          <w:sz w:val="24"/>
          <w:szCs w:val="24"/>
        </w:rPr>
      </w:pPr>
      <w:r w:rsidRPr="00F1519D">
        <w:rPr>
          <w:rFonts w:ascii="Arial" w:hAnsi="Arial" w:cs="Arial"/>
          <w:sz w:val="24"/>
          <w:szCs w:val="24"/>
        </w:rPr>
        <w:t>El contrato de fideicomiso se formalizó en fecha 07 de junio de 2021 mediante contrato de fideicomiso administración y fuente de pago F/2460251 denominado Fideicomiso Maestro SIT Chihuahua, celebrado con Banco Santander México, S.A., Institución de Banca Múltiple, Grupo Financiero Santander México.</w:t>
      </w:r>
    </w:p>
    <w:p w14:paraId="12FD591A" w14:textId="77777777"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 xml:space="preserve">Ahora bien, de conformidad con el artículo 5º de la Ley de Transporte del Estado de Chihuahua, la prestación del servicio público de transporte corresponde originalmente al Poder Ejecutivo del Estado, quien lo podrá prestar de manera directa o indirecta por medio de personas físicas </w:t>
      </w:r>
      <w:r w:rsidRPr="00F1519D">
        <w:rPr>
          <w:rFonts w:ascii="Arial" w:hAnsi="Arial" w:cs="Arial"/>
          <w:sz w:val="24"/>
          <w:szCs w:val="24"/>
          <w:lang w:val="es-ES"/>
        </w:rPr>
        <w:lastRenderedPageBreak/>
        <w:t xml:space="preserve">o morales, constituidas con sujeción a las leyes del país, mediante la figura de concesión o permiso, procurando el beneficio de la sociedad. </w:t>
      </w:r>
    </w:p>
    <w:p w14:paraId="3C3154C0" w14:textId="2D94CDDC"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Asimismo, el Poder Ejecutivo del Estado, para las actividades prioritarias en el desarrollo de la entidad, se auxilia de las entidades de la administración pública paraestatal, para lo cual cuenta, entre otras, con las empresas propiedad del Estado y los fideicomisos.</w:t>
      </w:r>
    </w:p>
    <w:p w14:paraId="1BA20E86" w14:textId="77777777"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En ese tenor, derivado de la importancia que representa la adecuada prestación del transporte público, fue creada la empresa propiedad del Estado denominada “Operadora de Transporte VIVEBÚS Chihuahua”, mediante el Decreto número 516/2014 IV P.E., publicado el 20 de agosto de 2014 en el Periódico Oficial del Estado, con el objeto de administrar y operar el servicio público de transporte urbano de pasajeros en la Ruta Troncal Número 1 y en las que en lo sucesivo se le asignen, en la ciudad de Chihuahua.</w:t>
      </w:r>
    </w:p>
    <w:p w14:paraId="134F6F35" w14:textId="40AA2CCA"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Posteriormente, con el Decreto número LXVI/RFDEC/0995/2021 II P.O., publicado el 05 de mayo de 2021 en el Periódico Oficial del Estado, el H. Congreso del Estado reformó el referido Decreto número 516/2014 IV P.E., modificando entre otras disposiciones, el artículo 1º del mismo, con la finalidad de prever la posibilidad de que la empresa citada opere en las rutas que se le asignen en todo el estado, esto es, no solo en la ciudad de Chihuahua, sino en todo el territorio estatal.</w:t>
      </w:r>
    </w:p>
    <w:p w14:paraId="3BC66E8B" w14:textId="77777777"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En ese contexto, debe mencionarse que, con la firme intención de fortalecer el servicio de transporte público de pasajeros masivo y colectivo en Ciudad Juárez, Chihuahua, recientemente le ha sido asignada a la mencionada empresa propiedad del Estado, la prestación del servicio público de transporte, así como la administración, respectivamente, de diversas rutas en Ciudad Juárez, Chihuahua.</w:t>
      </w:r>
    </w:p>
    <w:p w14:paraId="39AA6B61" w14:textId="5B85203E"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Derivado de lo anterior, la presente iniciativa plantea una reforma al señalado Decreto número LXVI/AUCEP/0746/2020 IX P.E., a fin de agregar, como parte de los fideicomisarios en primer lugar, a las entidades paraestatales que presten el servicio público de transporte. Ello, con el propósito de que la “Operadora de Transporte VIVEBÚS Chihuahua” forme parte del sistema integrado de transporte.</w:t>
      </w:r>
    </w:p>
    <w:p w14:paraId="7D6F634D" w14:textId="77777777"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 xml:space="preserve">De igual forma, para un efectivo cumplimiento de los fines del fideicomiso en cuanto al mejoramiento del transporte en Ciudad Juárez, se propone integrar al Comité Técnico del </w:t>
      </w:r>
      <w:r w:rsidRPr="00F1519D">
        <w:rPr>
          <w:rFonts w:ascii="Arial" w:hAnsi="Arial" w:cs="Arial"/>
          <w:sz w:val="24"/>
          <w:szCs w:val="24"/>
          <w:lang w:val="es-ES"/>
        </w:rPr>
        <w:lastRenderedPageBreak/>
        <w:t>mismo, a la persona titular de la Dirección de Transporte Zona Norte, por ser la unidad orgánica directamente encargada de las gestiones en materia de transporte en la ciudad fronteriza.</w:t>
      </w:r>
    </w:p>
    <w:p w14:paraId="6EF2BCA9" w14:textId="77777777"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 xml:space="preserve">Además, se propone contemplar al transporte masivo como una más de las modalidades que el fideicomiso de mérito busca mejorar, pues actualmente únicamente prevé las de </w:t>
      </w:r>
      <w:r w:rsidRPr="00F1519D">
        <w:rPr>
          <w:rFonts w:ascii="Arial" w:hAnsi="Arial" w:cs="Arial"/>
          <w:iCs/>
          <w:sz w:val="24"/>
          <w:szCs w:val="24"/>
          <w:lang w:val="es-ES"/>
        </w:rPr>
        <w:t>colectivo urbano y metropolitano</w:t>
      </w:r>
      <w:r w:rsidRPr="00F1519D">
        <w:rPr>
          <w:rFonts w:ascii="Arial" w:hAnsi="Arial" w:cs="Arial"/>
          <w:sz w:val="24"/>
          <w:szCs w:val="24"/>
          <w:lang w:val="es-ES"/>
        </w:rPr>
        <w:t xml:space="preserve">. </w:t>
      </w:r>
    </w:p>
    <w:p w14:paraId="4BDDA0F6" w14:textId="77777777" w:rsidR="00FB782D" w:rsidRPr="00F1519D" w:rsidRDefault="00FC6DF5">
      <w:pPr>
        <w:spacing w:line="312" w:lineRule="auto"/>
        <w:jc w:val="both"/>
        <w:rPr>
          <w:rFonts w:ascii="Arial" w:hAnsi="Arial" w:cs="Arial"/>
          <w:sz w:val="24"/>
          <w:szCs w:val="24"/>
          <w:highlight w:val="yellow"/>
          <w:lang w:val="es-ES"/>
        </w:rPr>
      </w:pPr>
      <w:r w:rsidRPr="00F1519D">
        <w:rPr>
          <w:rFonts w:ascii="Arial" w:hAnsi="Arial" w:cs="Arial"/>
          <w:sz w:val="24"/>
          <w:szCs w:val="24"/>
          <w:lang w:val="es-ES"/>
        </w:rPr>
        <w:t xml:space="preserve">Finalmente, se plantean modificaciones derivadas de la entrada en vigor del Decreto número LXVII/RFLEY/0286/2022 III P.E., publicado en el Periódico Oficial del Estado en fecha 16 de julio de 2022, mediante el cual se reformaron, adicionaron y derogaron múltiples disposiciones legislativas para concretar, entre otros, el traslado de atribuciones en materia de transporte a la Secretaría General de Gobierno, así como el cambio estructural que convirtió a la Dirección de Transporte en una Subsecretaría. </w:t>
      </w:r>
    </w:p>
    <w:p w14:paraId="039EDF3D" w14:textId="7DABD4F4"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 xml:space="preserve">Tales planteamientos proponen armonizar el texto del Decreto que autorizó al Ejecutivo del Estado para que, por conducto de la Secretaría de Hacienda, formalice el contrato del multicitado fideicomiso, en cuanto a las menciones que aún se realizan a la Dirección de Transporte y a la Secretaría de Desarrollo Urbano y Ecología. </w:t>
      </w:r>
    </w:p>
    <w:p w14:paraId="0CB22E26" w14:textId="77777777" w:rsidR="00FB782D" w:rsidRPr="00F1519D" w:rsidRDefault="00FC6DF5">
      <w:pPr>
        <w:spacing w:line="312" w:lineRule="auto"/>
        <w:jc w:val="both"/>
        <w:rPr>
          <w:rFonts w:ascii="Arial" w:hAnsi="Arial" w:cs="Arial"/>
          <w:sz w:val="24"/>
          <w:szCs w:val="24"/>
          <w:lang w:val="es-ES"/>
        </w:rPr>
      </w:pPr>
      <w:r w:rsidRPr="00F1519D">
        <w:rPr>
          <w:rFonts w:ascii="Arial" w:hAnsi="Arial" w:cs="Arial"/>
          <w:sz w:val="24"/>
          <w:szCs w:val="24"/>
          <w:lang w:val="es-ES"/>
        </w:rPr>
        <w:t>Además, se propone recorrer la numeración de diversos apartados del Artículo Primero del Decreto, pues erróneamente se repiten los identificados con los numerales IV, IX y X.</w:t>
      </w:r>
    </w:p>
    <w:p w14:paraId="7E8317EF" w14:textId="77777777" w:rsidR="00FB782D" w:rsidRPr="00F1519D" w:rsidRDefault="00FC6DF5">
      <w:pPr>
        <w:spacing w:line="312" w:lineRule="auto"/>
        <w:jc w:val="both"/>
        <w:rPr>
          <w:rFonts w:ascii="Arial" w:hAnsi="Arial" w:cs="Arial"/>
          <w:sz w:val="24"/>
          <w:szCs w:val="24"/>
          <w:lang w:val="es-ES"/>
        </w:rPr>
      </w:pPr>
      <w:bookmarkStart w:id="0" w:name="_heading=h.1fob9te" w:colFirst="0" w:colLast="0"/>
      <w:bookmarkEnd w:id="0"/>
      <w:r w:rsidRPr="00F1519D">
        <w:rPr>
          <w:rFonts w:ascii="Arial" w:hAnsi="Arial" w:cs="Arial"/>
          <w:sz w:val="24"/>
          <w:szCs w:val="24"/>
          <w:lang w:val="es-ES"/>
        </w:rPr>
        <w:t>Por lo anteriormente expuesto, someto a consideración de ese H. Congreso del Estado la presente iniciativa con carácter de:</w:t>
      </w:r>
    </w:p>
    <w:p w14:paraId="063A2F41" w14:textId="77777777" w:rsidR="00FB782D" w:rsidRPr="00F1519D" w:rsidRDefault="00FB782D">
      <w:pPr>
        <w:spacing w:line="312" w:lineRule="auto"/>
        <w:jc w:val="both"/>
        <w:rPr>
          <w:rFonts w:ascii="Arial" w:hAnsi="Arial" w:cs="Arial"/>
          <w:sz w:val="24"/>
          <w:szCs w:val="24"/>
          <w:lang w:val="es-ES"/>
        </w:rPr>
      </w:pPr>
    </w:p>
    <w:p w14:paraId="013374CF" w14:textId="77777777" w:rsidR="00FB782D" w:rsidRPr="00F1519D" w:rsidRDefault="00FC6DF5">
      <w:pPr>
        <w:spacing w:line="312" w:lineRule="auto"/>
        <w:jc w:val="center"/>
        <w:rPr>
          <w:rFonts w:ascii="Arial" w:hAnsi="Arial" w:cs="Arial"/>
          <w:b/>
          <w:sz w:val="24"/>
          <w:szCs w:val="24"/>
        </w:rPr>
      </w:pPr>
      <w:r w:rsidRPr="00F1519D">
        <w:rPr>
          <w:rFonts w:ascii="Arial" w:hAnsi="Arial" w:cs="Arial"/>
          <w:b/>
          <w:sz w:val="24"/>
          <w:szCs w:val="24"/>
        </w:rPr>
        <w:t>DECRETO</w:t>
      </w:r>
    </w:p>
    <w:p w14:paraId="47F301B3" w14:textId="77777777" w:rsidR="00FB782D" w:rsidRPr="00F1519D" w:rsidRDefault="00FB782D">
      <w:pPr>
        <w:spacing w:line="312" w:lineRule="auto"/>
        <w:jc w:val="center"/>
        <w:rPr>
          <w:rFonts w:ascii="Arial" w:hAnsi="Arial" w:cs="Arial"/>
          <w:b/>
          <w:sz w:val="24"/>
          <w:szCs w:val="24"/>
        </w:rPr>
      </w:pPr>
    </w:p>
    <w:p w14:paraId="7EAA1B2E" w14:textId="77777777" w:rsidR="00FB782D" w:rsidRPr="00F1519D" w:rsidRDefault="00FC6DF5" w:rsidP="00F1519D">
      <w:pPr>
        <w:spacing w:after="0" w:line="312" w:lineRule="auto"/>
        <w:jc w:val="both"/>
        <w:rPr>
          <w:rFonts w:ascii="Arial" w:hAnsi="Arial" w:cs="Arial"/>
          <w:sz w:val="24"/>
          <w:szCs w:val="24"/>
          <w:lang w:val="es-ES"/>
        </w:rPr>
      </w:pPr>
      <w:bookmarkStart w:id="1" w:name="_Hlk168044353"/>
      <w:bookmarkStart w:id="2" w:name="_Hlk168047093"/>
      <w:r w:rsidRPr="00F1519D">
        <w:rPr>
          <w:rFonts w:ascii="Arial" w:hAnsi="Arial" w:cs="Arial"/>
          <w:b/>
          <w:sz w:val="24"/>
          <w:szCs w:val="24"/>
          <w:lang w:val="es-ES"/>
        </w:rPr>
        <w:t>ÚNICO. -</w:t>
      </w:r>
      <w:r w:rsidRPr="00F1519D">
        <w:rPr>
          <w:rFonts w:ascii="Arial" w:hAnsi="Arial" w:cs="Arial"/>
          <w:sz w:val="24"/>
          <w:szCs w:val="24"/>
          <w:lang w:val="es-ES"/>
        </w:rPr>
        <w:t xml:space="preserve"> </w:t>
      </w:r>
      <w:r w:rsidRPr="00F1519D">
        <w:rPr>
          <w:rFonts w:ascii="Arial" w:hAnsi="Arial" w:cs="Arial"/>
          <w:b/>
          <w:sz w:val="24"/>
          <w:szCs w:val="24"/>
          <w:lang w:val="es-ES"/>
        </w:rPr>
        <w:t>SE</w:t>
      </w:r>
      <w:r w:rsidRPr="00F1519D">
        <w:rPr>
          <w:rFonts w:ascii="Arial" w:hAnsi="Arial" w:cs="Arial"/>
          <w:sz w:val="24"/>
          <w:szCs w:val="24"/>
          <w:lang w:val="es-ES"/>
        </w:rPr>
        <w:t xml:space="preserve"> </w:t>
      </w:r>
      <w:r w:rsidRPr="00F1519D">
        <w:rPr>
          <w:rFonts w:ascii="Arial" w:hAnsi="Arial" w:cs="Arial"/>
          <w:b/>
          <w:sz w:val="24"/>
          <w:szCs w:val="24"/>
          <w:lang w:val="es-ES"/>
        </w:rPr>
        <w:t>REFORMAN</w:t>
      </w:r>
      <w:r w:rsidRPr="00F1519D">
        <w:rPr>
          <w:rFonts w:ascii="Arial" w:hAnsi="Arial" w:cs="Arial"/>
          <w:sz w:val="24"/>
          <w:szCs w:val="24"/>
          <w:lang w:val="es-ES"/>
        </w:rPr>
        <w:t xml:space="preserve"> </w:t>
      </w:r>
      <w:bookmarkStart w:id="3" w:name="_Hlk168051735"/>
      <w:bookmarkEnd w:id="1"/>
      <w:r w:rsidRPr="00F1519D">
        <w:rPr>
          <w:rFonts w:ascii="Arial" w:hAnsi="Arial" w:cs="Arial"/>
          <w:sz w:val="24"/>
          <w:szCs w:val="24"/>
          <w:lang w:val="es-ES"/>
        </w:rPr>
        <w:t xml:space="preserve">los apartados: I “Partes”, quinto párrafo;  IV </w:t>
      </w:r>
      <w:bookmarkStart w:id="4" w:name="_Hlk168313894"/>
      <w:r w:rsidRPr="00F1519D">
        <w:rPr>
          <w:rFonts w:ascii="Arial" w:hAnsi="Arial" w:cs="Arial"/>
          <w:sz w:val="24"/>
          <w:szCs w:val="24"/>
          <w:lang w:val="es-ES"/>
        </w:rPr>
        <w:t>“Fin”</w:t>
      </w:r>
      <w:bookmarkEnd w:id="4"/>
      <w:r w:rsidRPr="00F1519D">
        <w:rPr>
          <w:rFonts w:ascii="Arial" w:hAnsi="Arial" w:cs="Arial"/>
          <w:sz w:val="24"/>
          <w:szCs w:val="24"/>
          <w:lang w:val="es-ES"/>
        </w:rPr>
        <w:t xml:space="preserve">, segundo párrafo, y el inciso h); IV </w:t>
      </w:r>
      <w:bookmarkStart w:id="5" w:name="_Hlk168313911"/>
      <w:r w:rsidRPr="00F1519D">
        <w:rPr>
          <w:rFonts w:ascii="Arial" w:hAnsi="Arial" w:cs="Arial"/>
          <w:sz w:val="24"/>
          <w:szCs w:val="24"/>
          <w:lang w:val="es-ES"/>
        </w:rPr>
        <w:t>“Objeto”</w:t>
      </w:r>
      <w:bookmarkEnd w:id="5"/>
      <w:r w:rsidRPr="00F1519D">
        <w:rPr>
          <w:rFonts w:ascii="Arial" w:hAnsi="Arial" w:cs="Arial"/>
          <w:sz w:val="24"/>
          <w:szCs w:val="24"/>
          <w:lang w:val="es-ES"/>
        </w:rPr>
        <w:t xml:space="preserve">, primer párrafo”; V </w:t>
      </w:r>
      <w:bookmarkStart w:id="6" w:name="_Hlk168313925"/>
      <w:r w:rsidRPr="00F1519D">
        <w:rPr>
          <w:rFonts w:ascii="Arial" w:hAnsi="Arial" w:cs="Arial"/>
          <w:sz w:val="24"/>
          <w:szCs w:val="24"/>
          <w:lang w:val="es-ES"/>
        </w:rPr>
        <w:t>“Duración”</w:t>
      </w:r>
      <w:bookmarkEnd w:id="6"/>
      <w:r w:rsidRPr="00F1519D">
        <w:rPr>
          <w:rFonts w:ascii="Arial" w:hAnsi="Arial" w:cs="Arial"/>
          <w:sz w:val="24"/>
          <w:szCs w:val="24"/>
          <w:lang w:val="es-ES"/>
        </w:rPr>
        <w:t xml:space="preserve">, primer párrafo; VI </w:t>
      </w:r>
      <w:bookmarkStart w:id="7" w:name="_Hlk168313951"/>
      <w:r w:rsidRPr="00F1519D">
        <w:rPr>
          <w:rFonts w:ascii="Arial" w:hAnsi="Arial" w:cs="Arial"/>
          <w:sz w:val="24"/>
          <w:szCs w:val="24"/>
          <w:lang w:val="es-ES"/>
        </w:rPr>
        <w:t>“Comité Técnico”</w:t>
      </w:r>
      <w:bookmarkEnd w:id="7"/>
      <w:r w:rsidRPr="00F1519D">
        <w:rPr>
          <w:rFonts w:ascii="Arial" w:hAnsi="Arial" w:cs="Arial"/>
          <w:sz w:val="24"/>
          <w:szCs w:val="24"/>
          <w:lang w:val="es-ES"/>
        </w:rPr>
        <w:t>, primer, segundo y tercer párrafos, y la fracción IV;</w:t>
      </w:r>
      <w:bookmarkEnd w:id="3"/>
      <w:r w:rsidRPr="00F1519D">
        <w:rPr>
          <w:rFonts w:ascii="Arial" w:hAnsi="Arial" w:cs="Arial"/>
          <w:sz w:val="24"/>
          <w:szCs w:val="24"/>
          <w:lang w:val="es-ES"/>
        </w:rPr>
        <w:t xml:space="preserve"> VII “Sesiones del Comité Técnico”, primer párrafo; VIII “Atribuciones del Comité Técnico”, primer párrafo; IX “De la fiduciaria”, primer párrafo; X “Del contrato de fideicomiso”, primer párrafo; IX “Estructura del Fideicomiso”, primer y tercer párrafos; X “Cámara general de compensación”, primer párrafo; XI “Rendición de </w:t>
      </w:r>
      <w:r w:rsidRPr="00F1519D">
        <w:rPr>
          <w:rFonts w:ascii="Arial" w:hAnsi="Arial" w:cs="Arial"/>
          <w:sz w:val="24"/>
          <w:szCs w:val="24"/>
          <w:lang w:val="es-ES"/>
        </w:rPr>
        <w:lastRenderedPageBreak/>
        <w:t xml:space="preserve">cuentas”, primer párrafo; XII “Órgano Interno de Control. Vigilancia”, primer párrafo; </w:t>
      </w:r>
      <w:bookmarkStart w:id="8" w:name="_Hlk168051555"/>
      <w:r w:rsidRPr="00F1519D">
        <w:rPr>
          <w:rFonts w:ascii="Arial" w:hAnsi="Arial" w:cs="Arial"/>
          <w:sz w:val="24"/>
          <w:szCs w:val="24"/>
          <w:lang w:val="es-ES"/>
        </w:rPr>
        <w:t xml:space="preserve">y </w:t>
      </w:r>
      <w:r w:rsidRPr="00F1519D">
        <w:rPr>
          <w:rFonts w:ascii="Arial" w:hAnsi="Arial" w:cs="Arial"/>
          <w:b/>
          <w:sz w:val="24"/>
          <w:szCs w:val="24"/>
          <w:lang w:val="es-ES"/>
        </w:rPr>
        <w:t>SE</w:t>
      </w:r>
      <w:r w:rsidRPr="00F1519D">
        <w:rPr>
          <w:rFonts w:ascii="Arial" w:hAnsi="Arial" w:cs="Arial"/>
          <w:sz w:val="24"/>
          <w:szCs w:val="24"/>
          <w:lang w:val="es-ES"/>
        </w:rPr>
        <w:t xml:space="preserve"> </w:t>
      </w:r>
      <w:r w:rsidRPr="00F1519D">
        <w:rPr>
          <w:rFonts w:ascii="Arial" w:hAnsi="Arial" w:cs="Arial"/>
          <w:b/>
          <w:sz w:val="24"/>
          <w:szCs w:val="24"/>
          <w:lang w:val="es-ES"/>
        </w:rPr>
        <w:t>ADICIONA</w:t>
      </w:r>
      <w:r w:rsidRPr="00F1519D">
        <w:rPr>
          <w:rFonts w:ascii="Arial" w:hAnsi="Arial" w:cs="Arial"/>
          <w:sz w:val="24"/>
          <w:szCs w:val="24"/>
          <w:lang w:val="es-ES"/>
        </w:rPr>
        <w:t xml:space="preserve"> la fracción VI al apartado VI </w:t>
      </w:r>
      <w:bookmarkStart w:id="9" w:name="_Hlk168313992"/>
      <w:r w:rsidRPr="00F1519D">
        <w:rPr>
          <w:rFonts w:ascii="Arial" w:hAnsi="Arial" w:cs="Arial"/>
          <w:sz w:val="24"/>
          <w:szCs w:val="24"/>
          <w:lang w:val="es-ES"/>
        </w:rPr>
        <w:t>“Comité Técnico”</w:t>
      </w:r>
      <w:bookmarkEnd w:id="9"/>
      <w:r w:rsidRPr="00F1519D">
        <w:rPr>
          <w:rFonts w:ascii="Arial" w:hAnsi="Arial" w:cs="Arial"/>
          <w:sz w:val="24"/>
          <w:szCs w:val="24"/>
          <w:lang w:val="es-ES"/>
        </w:rPr>
        <w:t>; todos del Artículo Primero del Decreto número LXVI/AUCEP/0746/2020 IX P.E., publicado en el Periódico Oficial del Estado el día 18 de julio de 2020, para quedar de la siguiente manera:</w:t>
      </w:r>
    </w:p>
    <w:bookmarkEnd w:id="2"/>
    <w:bookmarkEnd w:id="8"/>
    <w:p w14:paraId="5E0D80C7" w14:textId="77777777" w:rsidR="00FB782D" w:rsidRPr="00F1519D" w:rsidRDefault="00FB782D" w:rsidP="00F1519D">
      <w:pPr>
        <w:spacing w:after="0" w:line="312" w:lineRule="auto"/>
        <w:jc w:val="both"/>
        <w:rPr>
          <w:rFonts w:ascii="Arial" w:hAnsi="Arial" w:cs="Arial"/>
          <w:sz w:val="24"/>
          <w:szCs w:val="24"/>
          <w:lang w:val="es-ES"/>
        </w:rPr>
      </w:pPr>
    </w:p>
    <w:p w14:paraId="2F2242EF" w14:textId="77777777" w:rsidR="00FB782D" w:rsidRPr="00F1519D" w:rsidRDefault="00FB782D" w:rsidP="00F1519D">
      <w:pPr>
        <w:spacing w:after="0" w:line="312" w:lineRule="auto"/>
        <w:jc w:val="both"/>
        <w:rPr>
          <w:rFonts w:ascii="Arial" w:hAnsi="Arial" w:cs="Arial"/>
          <w:sz w:val="24"/>
          <w:szCs w:val="24"/>
          <w:lang w:val="es-ES"/>
        </w:rPr>
      </w:pPr>
    </w:p>
    <w:p w14:paraId="6BF4B7FF"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 xml:space="preserve">ARTÍCULO </w:t>
      </w:r>
      <w:proofErr w:type="gramStart"/>
      <w:r w:rsidRPr="00F1519D">
        <w:rPr>
          <w:rFonts w:ascii="Arial" w:hAnsi="Arial" w:cs="Arial"/>
          <w:iCs/>
          <w:sz w:val="24"/>
          <w:szCs w:val="24"/>
          <w:lang w:val="es-ES"/>
        </w:rPr>
        <w:t>PRIMERO.-</w:t>
      </w:r>
      <w:proofErr w:type="gramEnd"/>
      <w:r w:rsidRPr="00F1519D">
        <w:rPr>
          <w:rFonts w:ascii="Arial" w:hAnsi="Arial" w:cs="Arial"/>
          <w:iCs/>
          <w:sz w:val="24"/>
          <w:szCs w:val="24"/>
          <w:lang w:val="es-ES"/>
        </w:rPr>
        <w:t xml:space="preserve"> …</w:t>
      </w:r>
    </w:p>
    <w:p w14:paraId="26D777B6"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6E8D535F"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I. PARTES.</w:t>
      </w:r>
    </w:p>
    <w:p w14:paraId="63802995" w14:textId="77777777" w:rsidR="00FB782D" w:rsidRPr="00F1519D" w:rsidRDefault="00FC6DF5">
      <w:pPr>
        <w:spacing w:line="312" w:lineRule="auto"/>
        <w:ind w:left="3540" w:right="49" w:hanging="2835"/>
        <w:jc w:val="both"/>
        <w:rPr>
          <w:rFonts w:ascii="Arial" w:hAnsi="Arial" w:cs="Arial"/>
          <w:iCs/>
          <w:sz w:val="24"/>
          <w:szCs w:val="24"/>
          <w:lang w:val="es-ES"/>
        </w:rPr>
      </w:pPr>
      <w:r w:rsidRPr="00F1519D">
        <w:rPr>
          <w:rFonts w:ascii="Arial" w:hAnsi="Arial" w:cs="Arial"/>
          <w:iCs/>
          <w:sz w:val="24"/>
          <w:szCs w:val="24"/>
          <w:lang w:val="es-ES"/>
        </w:rPr>
        <w:t>FIDEICOMITENTE:</w:t>
      </w:r>
      <w:r w:rsidRPr="00F1519D">
        <w:rPr>
          <w:rFonts w:ascii="Arial" w:hAnsi="Arial" w:cs="Arial"/>
          <w:iCs/>
          <w:sz w:val="24"/>
          <w:szCs w:val="24"/>
          <w:lang w:val="es-ES"/>
        </w:rPr>
        <w:tab/>
        <w:t>...</w:t>
      </w:r>
    </w:p>
    <w:p w14:paraId="68CAB547" w14:textId="77777777" w:rsidR="00FB782D" w:rsidRPr="00F1519D" w:rsidRDefault="00FC6DF5">
      <w:pPr>
        <w:spacing w:line="312" w:lineRule="auto"/>
        <w:ind w:left="3540" w:right="49" w:hanging="2835"/>
        <w:jc w:val="both"/>
        <w:rPr>
          <w:rFonts w:ascii="Arial" w:hAnsi="Arial" w:cs="Arial"/>
          <w:iCs/>
          <w:sz w:val="24"/>
          <w:szCs w:val="24"/>
          <w:lang w:val="es-ES"/>
        </w:rPr>
      </w:pPr>
      <w:r w:rsidRPr="00F1519D">
        <w:rPr>
          <w:rFonts w:ascii="Arial" w:hAnsi="Arial" w:cs="Arial"/>
          <w:iCs/>
          <w:sz w:val="24"/>
          <w:szCs w:val="24"/>
          <w:lang w:val="es-ES"/>
        </w:rPr>
        <w:t>FIDUCIARIA:</w:t>
      </w:r>
      <w:r w:rsidRPr="00F1519D">
        <w:rPr>
          <w:rFonts w:ascii="Arial" w:hAnsi="Arial" w:cs="Arial"/>
          <w:iCs/>
          <w:sz w:val="24"/>
          <w:szCs w:val="24"/>
          <w:lang w:val="es-ES"/>
        </w:rPr>
        <w:tab/>
        <w:t>...</w:t>
      </w:r>
    </w:p>
    <w:p w14:paraId="5E9810AE" w14:textId="77777777" w:rsidR="00FB782D" w:rsidRPr="00F1519D" w:rsidRDefault="00FC6DF5">
      <w:pPr>
        <w:spacing w:line="312" w:lineRule="auto"/>
        <w:ind w:left="3540" w:right="49" w:hanging="2835"/>
        <w:jc w:val="both"/>
        <w:rPr>
          <w:rFonts w:ascii="Arial" w:hAnsi="Arial" w:cs="Arial"/>
          <w:bCs/>
          <w:iCs/>
          <w:sz w:val="24"/>
          <w:szCs w:val="24"/>
          <w:lang w:val="es-ES"/>
        </w:rPr>
      </w:pPr>
      <w:r w:rsidRPr="00F1519D">
        <w:rPr>
          <w:rFonts w:ascii="Arial" w:hAnsi="Arial" w:cs="Arial"/>
          <w:bCs/>
          <w:iCs/>
          <w:sz w:val="24"/>
          <w:szCs w:val="24"/>
          <w:lang w:val="es-ES"/>
        </w:rPr>
        <w:t>FIDECOMISARIOS:</w:t>
      </w:r>
      <w:r w:rsidRPr="00F1519D">
        <w:rPr>
          <w:rFonts w:ascii="Arial" w:hAnsi="Arial" w:cs="Arial"/>
          <w:bCs/>
          <w:iCs/>
          <w:sz w:val="24"/>
          <w:szCs w:val="24"/>
          <w:lang w:val="es-ES"/>
        </w:rPr>
        <w:tab/>
      </w:r>
    </w:p>
    <w:p w14:paraId="5EE9EEDF" w14:textId="51DF21CD" w:rsidR="00FB782D" w:rsidRPr="00F1519D" w:rsidRDefault="00FC6DF5">
      <w:pPr>
        <w:spacing w:line="312" w:lineRule="auto"/>
        <w:ind w:left="3540" w:right="49" w:hanging="2835"/>
        <w:jc w:val="both"/>
        <w:rPr>
          <w:rFonts w:ascii="Arial" w:hAnsi="Arial" w:cs="Arial"/>
          <w:iCs/>
          <w:sz w:val="24"/>
          <w:szCs w:val="24"/>
          <w:lang w:val="es-ES"/>
        </w:rPr>
      </w:pPr>
      <w:r w:rsidRPr="00F1519D">
        <w:rPr>
          <w:rFonts w:ascii="Arial" w:hAnsi="Arial" w:cs="Arial"/>
          <w:bCs/>
          <w:iCs/>
          <w:sz w:val="24"/>
          <w:szCs w:val="24"/>
          <w:lang w:val="es-ES"/>
        </w:rPr>
        <w:t>En primer lugar:</w:t>
      </w:r>
      <w:r w:rsidRPr="00F1519D">
        <w:rPr>
          <w:rFonts w:ascii="Arial" w:hAnsi="Arial" w:cs="Arial"/>
          <w:iCs/>
          <w:sz w:val="24"/>
          <w:szCs w:val="24"/>
          <w:lang w:val="es-ES"/>
        </w:rPr>
        <w:tab/>
      </w:r>
      <w:r w:rsidRPr="00F1519D">
        <w:rPr>
          <w:rFonts w:ascii="Arial" w:hAnsi="Arial" w:cs="Arial"/>
          <w:b/>
          <w:bCs/>
          <w:iCs/>
          <w:sz w:val="24"/>
          <w:szCs w:val="24"/>
          <w:lang w:val="es-ES"/>
        </w:rPr>
        <w:t>Las entidades de la administración pública paraestatal que presten el servicio público de transporte, así como</w:t>
      </w:r>
      <w:r w:rsidRPr="00F1519D">
        <w:rPr>
          <w:rFonts w:ascii="Arial" w:hAnsi="Arial" w:cs="Arial"/>
          <w:iCs/>
          <w:sz w:val="24"/>
          <w:szCs w:val="24"/>
          <w:lang w:val="es-ES"/>
        </w:rPr>
        <w:t xml:space="preserve"> aquellos concesionarios, proveedores, contratistas y acreedores que permitan alcanzar el objeto del Fideicomiso, conforme al marco normativo vigente.</w:t>
      </w:r>
    </w:p>
    <w:p w14:paraId="781AB385" w14:textId="77777777" w:rsidR="00FB782D" w:rsidRPr="00F1519D" w:rsidRDefault="00FB782D" w:rsidP="00F1519D">
      <w:pPr>
        <w:spacing w:after="0" w:line="312" w:lineRule="auto"/>
        <w:ind w:right="49"/>
        <w:jc w:val="both"/>
        <w:rPr>
          <w:rFonts w:ascii="Arial" w:hAnsi="Arial" w:cs="Arial"/>
          <w:iCs/>
          <w:sz w:val="24"/>
          <w:szCs w:val="24"/>
          <w:lang w:val="es-ES"/>
        </w:rPr>
      </w:pPr>
    </w:p>
    <w:p w14:paraId="408650BA" w14:textId="7820899D" w:rsidR="00FB782D" w:rsidRPr="00F1519D" w:rsidRDefault="00FC6DF5" w:rsidP="00F1519D">
      <w:pPr>
        <w:spacing w:after="0" w:line="312" w:lineRule="auto"/>
        <w:ind w:right="49"/>
        <w:jc w:val="both"/>
        <w:rPr>
          <w:rFonts w:ascii="Arial" w:hAnsi="Arial" w:cs="Arial"/>
          <w:iCs/>
          <w:sz w:val="24"/>
          <w:szCs w:val="24"/>
          <w:lang w:val="es-ES"/>
        </w:rPr>
      </w:pPr>
      <w:r w:rsidRPr="00F1519D">
        <w:rPr>
          <w:rFonts w:ascii="Arial" w:hAnsi="Arial" w:cs="Arial"/>
          <w:iCs/>
          <w:sz w:val="24"/>
          <w:szCs w:val="24"/>
          <w:lang w:val="es-ES"/>
        </w:rPr>
        <w:t>II. a III …</w:t>
      </w:r>
    </w:p>
    <w:p w14:paraId="59E43D7C" w14:textId="77777777" w:rsidR="00FB782D" w:rsidRPr="00F1519D" w:rsidRDefault="00FB782D" w:rsidP="00F1519D">
      <w:pPr>
        <w:spacing w:after="0" w:line="312" w:lineRule="auto"/>
        <w:ind w:left="3540" w:right="49" w:hanging="2835"/>
        <w:jc w:val="both"/>
        <w:rPr>
          <w:rFonts w:ascii="Arial" w:hAnsi="Arial" w:cs="Arial"/>
          <w:iCs/>
          <w:sz w:val="24"/>
          <w:szCs w:val="24"/>
          <w:lang w:val="es-ES"/>
        </w:rPr>
      </w:pPr>
    </w:p>
    <w:p w14:paraId="3817F7D1"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IV. FIN.</w:t>
      </w:r>
    </w:p>
    <w:p w14:paraId="43ABAF03"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 xml:space="preserve">La finalidad del Fideicomiso es el mejoramiento del transporte en el Estado, por medio de la creación, promoción y fortalecimiento de la integración del Transporte; específicamente respecto al transporte de pasajeros, colectivo urbano, metropolitano </w:t>
      </w:r>
      <w:r w:rsidRPr="00F1519D">
        <w:rPr>
          <w:rFonts w:ascii="Arial" w:hAnsi="Arial" w:cs="Arial"/>
          <w:b/>
          <w:iCs/>
          <w:sz w:val="24"/>
          <w:szCs w:val="24"/>
          <w:lang w:val="es-ES"/>
        </w:rPr>
        <w:t>y masivo</w:t>
      </w:r>
      <w:r w:rsidRPr="00F1519D">
        <w:rPr>
          <w:rFonts w:ascii="Arial" w:hAnsi="Arial" w:cs="Arial"/>
          <w:iCs/>
          <w:sz w:val="24"/>
          <w:szCs w:val="24"/>
          <w:lang w:val="es-ES"/>
        </w:rPr>
        <w:t>. En este sentido, tiene como objetivo la implementación de un modelo integrado, multimodal e interoperable que contribuya a elevar la calidad de vida de los habitantes y la competitividad en la Entidad.</w:t>
      </w:r>
    </w:p>
    <w:p w14:paraId="42B51F5E"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1C21B002"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lastRenderedPageBreak/>
        <w:t>…</w:t>
      </w:r>
    </w:p>
    <w:p w14:paraId="5ED7E24D" w14:textId="70FBB325"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772E73A0" w14:textId="77777777" w:rsidR="00FB782D" w:rsidRPr="00F1519D" w:rsidRDefault="00FC6DF5" w:rsidP="00F1519D">
      <w:pPr>
        <w:spacing w:line="312" w:lineRule="auto"/>
        <w:ind w:left="709" w:right="49"/>
        <w:jc w:val="both"/>
        <w:rPr>
          <w:rFonts w:ascii="Arial" w:hAnsi="Arial" w:cs="Arial"/>
          <w:iCs/>
          <w:sz w:val="24"/>
          <w:szCs w:val="24"/>
          <w:lang w:val="es-ES"/>
        </w:rPr>
      </w:pPr>
      <w:r w:rsidRPr="00F1519D">
        <w:rPr>
          <w:rFonts w:ascii="Arial" w:hAnsi="Arial" w:cs="Arial"/>
          <w:iCs/>
          <w:sz w:val="24"/>
          <w:szCs w:val="24"/>
          <w:lang w:val="es-ES"/>
        </w:rPr>
        <w:t>a) al g) …</w:t>
      </w:r>
    </w:p>
    <w:p w14:paraId="39EF3695" w14:textId="77777777" w:rsidR="00FB782D" w:rsidRPr="00F1519D" w:rsidRDefault="00FC6DF5" w:rsidP="00F1519D">
      <w:pPr>
        <w:spacing w:line="312" w:lineRule="auto"/>
        <w:ind w:left="1134" w:right="49" w:hanging="426"/>
        <w:jc w:val="both"/>
        <w:rPr>
          <w:rFonts w:ascii="Arial" w:hAnsi="Arial" w:cs="Arial"/>
          <w:bCs/>
          <w:iCs/>
          <w:sz w:val="24"/>
          <w:szCs w:val="24"/>
          <w:lang w:val="es-ES"/>
        </w:rPr>
      </w:pPr>
      <w:r w:rsidRPr="00F1519D">
        <w:rPr>
          <w:rFonts w:ascii="Arial" w:hAnsi="Arial" w:cs="Arial"/>
          <w:bCs/>
          <w:iCs/>
          <w:sz w:val="24"/>
          <w:szCs w:val="24"/>
          <w:lang w:val="es-ES"/>
        </w:rPr>
        <w:t>h)</w:t>
      </w:r>
      <w:r w:rsidRPr="00F1519D">
        <w:rPr>
          <w:rFonts w:ascii="Arial" w:hAnsi="Arial" w:cs="Arial"/>
          <w:b/>
          <w:bCs/>
          <w:iCs/>
          <w:sz w:val="24"/>
          <w:szCs w:val="24"/>
          <w:lang w:val="es-ES"/>
        </w:rPr>
        <w:t xml:space="preserve"> </w:t>
      </w:r>
      <w:r w:rsidRPr="00F1519D">
        <w:rPr>
          <w:rFonts w:ascii="Arial" w:hAnsi="Arial" w:cs="Arial"/>
          <w:bCs/>
          <w:iCs/>
          <w:sz w:val="24"/>
          <w:szCs w:val="24"/>
          <w:lang w:val="es-ES"/>
        </w:rPr>
        <w:t>Dar seguimiento a la programación del servicio entre las empresas concesionarias, autorizadas por</w:t>
      </w:r>
      <w:r w:rsidRPr="00F1519D">
        <w:rPr>
          <w:rFonts w:ascii="Arial" w:hAnsi="Arial" w:cs="Arial"/>
          <w:b/>
          <w:bCs/>
          <w:iCs/>
          <w:sz w:val="24"/>
          <w:szCs w:val="24"/>
          <w:lang w:val="es-ES"/>
        </w:rPr>
        <w:t xml:space="preserve"> </w:t>
      </w:r>
      <w:r w:rsidRPr="00F1519D">
        <w:rPr>
          <w:rFonts w:ascii="Arial" w:hAnsi="Arial" w:cs="Arial"/>
          <w:bCs/>
          <w:iCs/>
          <w:sz w:val="24"/>
          <w:szCs w:val="24"/>
          <w:lang w:val="es-ES"/>
        </w:rPr>
        <w:t>la</w:t>
      </w:r>
      <w:r w:rsidRPr="00F1519D">
        <w:rPr>
          <w:rFonts w:ascii="Arial" w:hAnsi="Arial" w:cs="Arial"/>
          <w:b/>
          <w:bCs/>
          <w:iCs/>
          <w:sz w:val="24"/>
          <w:szCs w:val="24"/>
          <w:lang w:val="es-ES"/>
        </w:rPr>
        <w:t xml:space="preserve"> Subsecretaría </w:t>
      </w:r>
      <w:r w:rsidRPr="00F1519D">
        <w:rPr>
          <w:rFonts w:ascii="Arial" w:hAnsi="Arial" w:cs="Arial"/>
          <w:bCs/>
          <w:iCs/>
          <w:sz w:val="24"/>
          <w:szCs w:val="24"/>
          <w:lang w:val="es-ES"/>
        </w:rPr>
        <w:t>de Transporte.</w:t>
      </w:r>
    </w:p>
    <w:p w14:paraId="62637EC9" w14:textId="77777777" w:rsidR="00FB782D" w:rsidRPr="00F1519D" w:rsidRDefault="00FC6DF5">
      <w:pPr>
        <w:spacing w:line="312" w:lineRule="auto"/>
        <w:ind w:right="49" w:firstLine="708"/>
        <w:jc w:val="both"/>
        <w:rPr>
          <w:rFonts w:ascii="Arial" w:hAnsi="Arial" w:cs="Arial"/>
          <w:iCs/>
          <w:sz w:val="24"/>
          <w:szCs w:val="24"/>
          <w:lang w:val="es-ES"/>
        </w:rPr>
      </w:pPr>
      <w:r w:rsidRPr="00F1519D">
        <w:rPr>
          <w:rFonts w:ascii="Arial" w:hAnsi="Arial" w:cs="Arial"/>
          <w:iCs/>
          <w:sz w:val="24"/>
          <w:szCs w:val="24"/>
          <w:lang w:val="es-ES"/>
        </w:rPr>
        <w:t>i) …</w:t>
      </w:r>
    </w:p>
    <w:p w14:paraId="3DDC993F" w14:textId="435F62E6" w:rsidR="00FB782D" w:rsidRPr="00F1519D" w:rsidRDefault="00FC6DF5">
      <w:pPr>
        <w:spacing w:line="312" w:lineRule="auto"/>
        <w:ind w:right="49"/>
        <w:jc w:val="both"/>
        <w:rPr>
          <w:rFonts w:ascii="Arial" w:hAnsi="Arial" w:cs="Arial"/>
          <w:bCs/>
          <w:iCs/>
          <w:sz w:val="24"/>
          <w:szCs w:val="24"/>
          <w:lang w:val="es-ES"/>
        </w:rPr>
      </w:pPr>
      <w:r w:rsidRPr="00F1519D">
        <w:rPr>
          <w:rFonts w:ascii="Arial" w:hAnsi="Arial" w:cs="Arial"/>
          <w:b/>
          <w:iCs/>
          <w:sz w:val="24"/>
          <w:szCs w:val="24"/>
          <w:lang w:val="es-ES"/>
        </w:rPr>
        <w:t>V.</w:t>
      </w:r>
      <w:r w:rsidRPr="00F1519D">
        <w:rPr>
          <w:rFonts w:ascii="Arial" w:hAnsi="Arial" w:cs="Arial"/>
          <w:iCs/>
          <w:sz w:val="24"/>
          <w:szCs w:val="24"/>
          <w:lang w:val="es-ES"/>
        </w:rPr>
        <w:t xml:space="preserve"> OBJETO.</w:t>
      </w:r>
    </w:p>
    <w:p w14:paraId="0D88EECB" w14:textId="77777777" w:rsidR="00FB782D" w:rsidRPr="00F1519D" w:rsidRDefault="00FC6DF5">
      <w:pPr>
        <w:spacing w:line="312" w:lineRule="auto"/>
        <w:ind w:right="49"/>
        <w:jc w:val="both"/>
        <w:rPr>
          <w:rFonts w:ascii="Arial" w:hAnsi="Arial" w:cs="Arial"/>
          <w:bCs/>
          <w:iCs/>
          <w:sz w:val="24"/>
          <w:szCs w:val="24"/>
          <w:lang w:val="es-ES"/>
        </w:rPr>
      </w:pPr>
      <w:r w:rsidRPr="00F1519D">
        <w:rPr>
          <w:rFonts w:ascii="Arial" w:hAnsi="Arial" w:cs="Arial"/>
          <w:bCs/>
          <w:iCs/>
          <w:sz w:val="24"/>
          <w:szCs w:val="24"/>
          <w:lang w:val="es-ES"/>
        </w:rPr>
        <w:t>...</w:t>
      </w:r>
    </w:p>
    <w:p w14:paraId="1D8BD5C2" w14:textId="77777777" w:rsidR="00FB782D" w:rsidRPr="00F1519D" w:rsidRDefault="00FC6DF5" w:rsidP="00F1519D">
      <w:pPr>
        <w:spacing w:line="312" w:lineRule="auto"/>
        <w:ind w:left="360" w:right="49"/>
        <w:jc w:val="both"/>
        <w:rPr>
          <w:rFonts w:ascii="Arial" w:hAnsi="Arial" w:cs="Arial"/>
          <w:iCs/>
          <w:sz w:val="24"/>
          <w:szCs w:val="24"/>
          <w:lang w:val="es-ES"/>
        </w:rPr>
      </w:pPr>
      <w:r w:rsidRPr="00F1519D">
        <w:rPr>
          <w:rFonts w:ascii="Arial" w:hAnsi="Arial" w:cs="Arial"/>
          <w:iCs/>
          <w:sz w:val="24"/>
          <w:szCs w:val="24"/>
          <w:lang w:val="es-ES"/>
        </w:rPr>
        <w:t>I. a VI. …</w:t>
      </w:r>
    </w:p>
    <w:p w14:paraId="6A047FC8" w14:textId="6FA794D7" w:rsidR="00FB782D" w:rsidRPr="00F1519D" w:rsidRDefault="00FC6DF5">
      <w:pPr>
        <w:spacing w:line="312" w:lineRule="auto"/>
        <w:ind w:right="49"/>
        <w:jc w:val="both"/>
        <w:rPr>
          <w:rFonts w:ascii="Arial" w:hAnsi="Arial" w:cs="Arial"/>
          <w:bCs/>
          <w:iCs/>
          <w:sz w:val="24"/>
          <w:szCs w:val="24"/>
          <w:lang w:val="es-ES"/>
        </w:rPr>
      </w:pPr>
      <w:r w:rsidRPr="00F1519D">
        <w:rPr>
          <w:rFonts w:ascii="Arial" w:hAnsi="Arial" w:cs="Arial"/>
          <w:b/>
          <w:iCs/>
          <w:sz w:val="24"/>
          <w:szCs w:val="24"/>
          <w:lang w:val="es-ES"/>
        </w:rPr>
        <w:t>VI.</w:t>
      </w:r>
      <w:r w:rsidRPr="00F1519D">
        <w:rPr>
          <w:rFonts w:ascii="Arial" w:hAnsi="Arial" w:cs="Arial"/>
          <w:iCs/>
          <w:sz w:val="24"/>
          <w:szCs w:val="24"/>
          <w:lang w:val="es-ES"/>
        </w:rPr>
        <w:t xml:space="preserve"> DURACIÓN.</w:t>
      </w:r>
    </w:p>
    <w:p w14:paraId="3B1D2F0A"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bCs/>
          <w:iCs/>
          <w:sz w:val="24"/>
          <w:szCs w:val="24"/>
          <w:lang w:val="es-ES"/>
        </w:rPr>
        <w:t>…</w:t>
      </w:r>
    </w:p>
    <w:p w14:paraId="7FAEF7DD" w14:textId="0B05E755"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b/>
          <w:iCs/>
          <w:sz w:val="24"/>
          <w:szCs w:val="24"/>
          <w:lang w:val="es-ES"/>
        </w:rPr>
        <w:t>VII.</w:t>
      </w:r>
      <w:r w:rsidRPr="00F1519D">
        <w:rPr>
          <w:rFonts w:ascii="Arial" w:hAnsi="Arial" w:cs="Arial"/>
          <w:iCs/>
          <w:sz w:val="24"/>
          <w:szCs w:val="24"/>
          <w:lang w:val="es-ES"/>
        </w:rPr>
        <w:t xml:space="preserve"> COMITÉ TÉCNICO.</w:t>
      </w:r>
    </w:p>
    <w:p w14:paraId="24B43F9D" w14:textId="2E931110" w:rsidR="0024582D" w:rsidRPr="0024582D" w:rsidRDefault="0024582D" w:rsidP="0024582D">
      <w:pPr>
        <w:spacing w:line="312" w:lineRule="auto"/>
        <w:ind w:right="49"/>
        <w:jc w:val="both"/>
        <w:rPr>
          <w:rFonts w:ascii="Arial" w:hAnsi="Arial" w:cs="Arial"/>
          <w:iCs/>
          <w:sz w:val="24"/>
          <w:szCs w:val="24"/>
          <w:lang w:val="es-ES"/>
        </w:rPr>
      </w:pPr>
      <w:r w:rsidRPr="0024582D">
        <w:rPr>
          <w:rFonts w:ascii="Arial" w:hAnsi="Arial" w:cs="Arial"/>
          <w:iCs/>
          <w:sz w:val="24"/>
          <w:szCs w:val="24"/>
          <w:lang w:val="es-ES"/>
        </w:rPr>
        <w:t xml:space="preserve">Para el cumplimiento de los fines del Fideicomiso y su debido funcionamiento, se contará con un Comité Técnico en términos de los dispuesto por el tercer párrafo del artículo 80 de la Ley de Instituciones de Crédito, mismo que entrará en funciones al momento de la firma del contrato respectivo y estará integrado por </w:t>
      </w:r>
      <w:r w:rsidRPr="00F1519D">
        <w:rPr>
          <w:rFonts w:ascii="Arial" w:hAnsi="Arial" w:cs="Arial"/>
          <w:b/>
          <w:iCs/>
          <w:sz w:val="24"/>
          <w:szCs w:val="24"/>
          <w:lang w:val="es-ES"/>
        </w:rPr>
        <w:t>siete</w:t>
      </w:r>
      <w:r w:rsidRPr="0024582D">
        <w:rPr>
          <w:rFonts w:ascii="Arial" w:hAnsi="Arial" w:cs="Arial"/>
          <w:iCs/>
          <w:sz w:val="24"/>
          <w:szCs w:val="24"/>
          <w:lang w:val="es-ES"/>
        </w:rPr>
        <w:t xml:space="preserve"> personas propietarias y sus suplentes designados, conformándose de la siguiente manera:</w:t>
      </w:r>
    </w:p>
    <w:p w14:paraId="55C22F87" w14:textId="37370B7D" w:rsidR="00FB782D" w:rsidRPr="00F1519D" w:rsidRDefault="00FC6DF5" w:rsidP="00F1519D">
      <w:pPr>
        <w:spacing w:line="312" w:lineRule="auto"/>
        <w:ind w:left="426" w:right="49"/>
        <w:jc w:val="both"/>
        <w:rPr>
          <w:rFonts w:ascii="Arial" w:hAnsi="Arial" w:cs="Arial"/>
          <w:iCs/>
          <w:sz w:val="24"/>
          <w:szCs w:val="24"/>
          <w:lang w:val="es-ES"/>
        </w:rPr>
      </w:pPr>
      <w:r w:rsidRPr="00F1519D">
        <w:rPr>
          <w:rFonts w:ascii="Arial" w:hAnsi="Arial" w:cs="Arial"/>
          <w:iCs/>
          <w:sz w:val="24"/>
          <w:szCs w:val="24"/>
          <w:lang w:val="es-ES"/>
        </w:rPr>
        <w:t>I. a III. …</w:t>
      </w:r>
    </w:p>
    <w:p w14:paraId="4733A123" w14:textId="77777777" w:rsidR="00FB782D" w:rsidRPr="00F1519D" w:rsidRDefault="00FC6DF5">
      <w:pPr>
        <w:pStyle w:val="Prrafodelista"/>
        <w:numPr>
          <w:ilvl w:val="0"/>
          <w:numId w:val="2"/>
        </w:numPr>
        <w:spacing w:line="312" w:lineRule="auto"/>
        <w:ind w:left="1276" w:right="49" w:hanging="850"/>
        <w:jc w:val="both"/>
        <w:rPr>
          <w:rFonts w:ascii="Arial" w:hAnsi="Arial" w:cs="Arial"/>
          <w:bCs/>
          <w:iCs/>
          <w:sz w:val="24"/>
          <w:szCs w:val="24"/>
          <w:lang w:val="es-ES"/>
        </w:rPr>
      </w:pPr>
      <w:r w:rsidRPr="00F1519D">
        <w:rPr>
          <w:rFonts w:ascii="Arial" w:hAnsi="Arial" w:cs="Arial"/>
          <w:iCs/>
          <w:sz w:val="24"/>
          <w:szCs w:val="24"/>
          <w:lang w:val="es-ES"/>
        </w:rPr>
        <w:t xml:space="preserve">Titular de la </w:t>
      </w:r>
      <w:r w:rsidRPr="00F1519D">
        <w:rPr>
          <w:rFonts w:ascii="Arial" w:hAnsi="Arial" w:cs="Arial"/>
          <w:b/>
          <w:iCs/>
          <w:sz w:val="24"/>
          <w:szCs w:val="24"/>
          <w:lang w:val="es-ES"/>
        </w:rPr>
        <w:t>Subsecretaría</w:t>
      </w:r>
      <w:r w:rsidRPr="00F1519D">
        <w:rPr>
          <w:rFonts w:ascii="Arial" w:hAnsi="Arial" w:cs="Arial"/>
          <w:iCs/>
          <w:sz w:val="24"/>
          <w:szCs w:val="24"/>
          <w:lang w:val="es-ES"/>
        </w:rPr>
        <w:t xml:space="preserve"> de Transporte.</w:t>
      </w:r>
    </w:p>
    <w:p w14:paraId="77BCF43B" w14:textId="55C09406" w:rsidR="00FB782D" w:rsidRPr="00F1519D" w:rsidRDefault="00FC6DF5">
      <w:pPr>
        <w:pStyle w:val="Prrafodelista"/>
        <w:numPr>
          <w:ilvl w:val="0"/>
          <w:numId w:val="2"/>
        </w:numPr>
        <w:spacing w:line="312" w:lineRule="auto"/>
        <w:ind w:left="1276" w:right="49" w:hanging="850"/>
        <w:jc w:val="both"/>
        <w:rPr>
          <w:rFonts w:ascii="Arial" w:hAnsi="Arial" w:cs="Arial"/>
          <w:iCs/>
          <w:sz w:val="24"/>
          <w:szCs w:val="24"/>
          <w:lang w:val="es-ES"/>
        </w:rPr>
      </w:pPr>
      <w:r w:rsidRPr="00F1519D">
        <w:rPr>
          <w:rFonts w:ascii="Arial" w:hAnsi="Arial" w:cs="Arial"/>
          <w:iCs/>
          <w:sz w:val="24"/>
          <w:szCs w:val="24"/>
          <w:lang w:val="es-ES"/>
        </w:rPr>
        <w:t>…</w:t>
      </w:r>
    </w:p>
    <w:p w14:paraId="312AC6FA" w14:textId="77777777" w:rsidR="00FB782D" w:rsidRPr="00F1519D" w:rsidRDefault="00FC6DF5">
      <w:pPr>
        <w:pStyle w:val="Prrafodelista"/>
        <w:numPr>
          <w:ilvl w:val="0"/>
          <w:numId w:val="2"/>
        </w:numPr>
        <w:spacing w:line="312" w:lineRule="auto"/>
        <w:ind w:left="1276" w:right="49" w:hanging="850"/>
        <w:jc w:val="both"/>
        <w:rPr>
          <w:rFonts w:ascii="Arial" w:hAnsi="Arial" w:cs="Arial"/>
          <w:b/>
          <w:bCs/>
          <w:iCs/>
          <w:sz w:val="24"/>
          <w:szCs w:val="24"/>
          <w:lang w:val="es-ES"/>
        </w:rPr>
      </w:pPr>
      <w:r w:rsidRPr="00F1519D">
        <w:rPr>
          <w:rFonts w:ascii="Arial" w:hAnsi="Arial" w:cs="Arial"/>
          <w:b/>
          <w:bCs/>
          <w:iCs/>
          <w:sz w:val="24"/>
          <w:szCs w:val="24"/>
          <w:lang w:val="es-ES"/>
        </w:rPr>
        <w:t>Titular de la Dirección de Transporte Zona Norte de la Subsecretaría de Transporte.</w:t>
      </w:r>
    </w:p>
    <w:p w14:paraId="3E2130EB" w14:textId="77777777" w:rsidR="00FB782D" w:rsidRPr="00F1519D" w:rsidRDefault="00FB782D">
      <w:pPr>
        <w:pStyle w:val="Prrafodelista"/>
        <w:rPr>
          <w:rFonts w:ascii="Arial" w:hAnsi="Arial" w:cs="Arial"/>
          <w:sz w:val="24"/>
          <w:szCs w:val="24"/>
          <w:lang w:val="es-ES"/>
        </w:rPr>
      </w:pPr>
    </w:p>
    <w:p w14:paraId="386FD0B1" w14:textId="77777777" w:rsidR="00FB782D" w:rsidRPr="00F1519D" w:rsidRDefault="00FC6DF5">
      <w:pPr>
        <w:spacing w:line="312" w:lineRule="auto"/>
        <w:ind w:right="49"/>
        <w:jc w:val="both"/>
        <w:rPr>
          <w:rFonts w:ascii="Arial" w:hAnsi="Arial" w:cs="Arial"/>
          <w:b/>
          <w:bCs/>
          <w:iCs/>
          <w:sz w:val="24"/>
          <w:szCs w:val="24"/>
          <w:lang w:val="es-ES"/>
        </w:rPr>
      </w:pPr>
      <w:r w:rsidRPr="00F1519D">
        <w:rPr>
          <w:rFonts w:ascii="Arial" w:hAnsi="Arial" w:cs="Arial"/>
          <w:bCs/>
          <w:iCs/>
          <w:sz w:val="24"/>
          <w:szCs w:val="24"/>
          <w:lang w:val="es-ES"/>
        </w:rPr>
        <w:t>El Comité Técnico del Fideicomiso contará con una Presidencia, que estará a cargo del Titular de la</w:t>
      </w:r>
      <w:r w:rsidRPr="00F1519D">
        <w:rPr>
          <w:rFonts w:ascii="Arial" w:hAnsi="Arial" w:cs="Arial"/>
          <w:b/>
          <w:bCs/>
          <w:iCs/>
          <w:sz w:val="24"/>
          <w:szCs w:val="24"/>
          <w:lang w:val="es-ES"/>
        </w:rPr>
        <w:t xml:space="preserve"> </w:t>
      </w:r>
      <w:r w:rsidRPr="00F1519D">
        <w:rPr>
          <w:rFonts w:ascii="Arial" w:hAnsi="Arial" w:cs="Arial"/>
          <w:bCs/>
          <w:iCs/>
          <w:sz w:val="24"/>
          <w:szCs w:val="24"/>
          <w:lang w:val="es-ES"/>
        </w:rPr>
        <w:t>Secretaría</w:t>
      </w:r>
      <w:r w:rsidRPr="00F1519D">
        <w:rPr>
          <w:rFonts w:ascii="Arial" w:hAnsi="Arial" w:cs="Arial"/>
          <w:b/>
          <w:bCs/>
          <w:iCs/>
          <w:sz w:val="24"/>
          <w:szCs w:val="24"/>
          <w:lang w:val="es-ES"/>
        </w:rPr>
        <w:t xml:space="preserve"> General de Gobierno</w:t>
      </w:r>
      <w:r w:rsidRPr="00F1519D">
        <w:rPr>
          <w:rFonts w:ascii="Arial" w:hAnsi="Arial" w:cs="Arial"/>
          <w:bCs/>
          <w:iCs/>
          <w:sz w:val="24"/>
          <w:szCs w:val="24"/>
          <w:lang w:val="es-ES"/>
        </w:rPr>
        <w:t>,</w:t>
      </w:r>
      <w:r w:rsidRPr="00F1519D">
        <w:rPr>
          <w:rFonts w:ascii="Arial" w:hAnsi="Arial" w:cs="Arial"/>
          <w:b/>
          <w:bCs/>
          <w:iCs/>
          <w:sz w:val="24"/>
          <w:szCs w:val="24"/>
          <w:lang w:val="es-ES"/>
        </w:rPr>
        <w:t xml:space="preserve"> </w:t>
      </w:r>
      <w:r w:rsidRPr="00F1519D">
        <w:rPr>
          <w:rFonts w:ascii="Arial" w:hAnsi="Arial" w:cs="Arial"/>
          <w:bCs/>
          <w:iCs/>
          <w:sz w:val="24"/>
          <w:szCs w:val="24"/>
          <w:lang w:val="es-ES"/>
        </w:rPr>
        <w:t>quien designará al Secretario Técnico, con su respectivo suplente, pudiendo ser o no personas ajenas al Comité Técnico.</w:t>
      </w:r>
    </w:p>
    <w:p w14:paraId="60728224"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lastRenderedPageBreak/>
        <w:t>…</w:t>
      </w:r>
    </w:p>
    <w:p w14:paraId="682746AD"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038EA899"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6EE86D74"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4363EA68"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02D50E63" w14:textId="1D9D303F" w:rsidR="00FB782D" w:rsidRPr="00F1519D" w:rsidRDefault="00FC6DF5" w:rsidP="00F1519D">
      <w:pPr>
        <w:spacing w:line="312" w:lineRule="auto"/>
        <w:ind w:left="426" w:right="49"/>
        <w:jc w:val="both"/>
        <w:rPr>
          <w:rFonts w:ascii="Arial" w:hAnsi="Arial" w:cs="Arial"/>
          <w:sz w:val="24"/>
          <w:szCs w:val="24"/>
          <w:lang w:val="es-ES"/>
        </w:rPr>
      </w:pPr>
      <w:r w:rsidRPr="00F1519D">
        <w:rPr>
          <w:rFonts w:ascii="Arial" w:hAnsi="Arial" w:cs="Arial"/>
          <w:iCs/>
          <w:sz w:val="24"/>
          <w:szCs w:val="24"/>
          <w:lang w:val="es-ES"/>
        </w:rPr>
        <w:t xml:space="preserve">I. </w:t>
      </w:r>
      <w:r w:rsidRPr="00F1519D">
        <w:rPr>
          <w:rFonts w:ascii="Arial" w:hAnsi="Arial" w:cs="Arial"/>
          <w:sz w:val="24"/>
          <w:szCs w:val="24"/>
          <w:lang w:val="es-ES"/>
        </w:rPr>
        <w:t>a III.</w:t>
      </w:r>
      <w:r>
        <w:rPr>
          <w:rFonts w:ascii="Arial" w:hAnsi="Arial" w:cs="Arial"/>
          <w:sz w:val="24"/>
          <w:szCs w:val="24"/>
          <w:lang w:val="es-ES"/>
        </w:rPr>
        <w:t xml:space="preserve"> </w:t>
      </w:r>
      <w:r w:rsidRPr="00F1519D">
        <w:rPr>
          <w:rFonts w:ascii="Arial" w:hAnsi="Arial" w:cs="Arial"/>
          <w:sz w:val="24"/>
          <w:szCs w:val="24"/>
          <w:lang w:val="es-ES"/>
        </w:rPr>
        <w:t>…</w:t>
      </w:r>
    </w:p>
    <w:p w14:paraId="530F48C8"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ab/>
      </w:r>
    </w:p>
    <w:p w14:paraId="657A70DA"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51E1AA27"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3462634B"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736C21C5" w14:textId="77777777" w:rsidR="00FB782D" w:rsidRPr="00F1519D" w:rsidRDefault="00FC6DF5">
      <w:pPr>
        <w:spacing w:line="312" w:lineRule="auto"/>
        <w:ind w:right="49"/>
        <w:jc w:val="both"/>
        <w:rPr>
          <w:rFonts w:ascii="Arial" w:hAnsi="Arial" w:cs="Arial"/>
          <w:b/>
          <w:bCs/>
          <w:iCs/>
          <w:sz w:val="24"/>
          <w:szCs w:val="24"/>
          <w:lang w:val="es-ES"/>
        </w:rPr>
      </w:pPr>
      <w:r w:rsidRPr="00F1519D">
        <w:rPr>
          <w:rFonts w:ascii="Arial" w:hAnsi="Arial" w:cs="Arial"/>
          <w:iCs/>
          <w:sz w:val="24"/>
          <w:szCs w:val="24"/>
          <w:lang w:val="es-ES"/>
        </w:rPr>
        <w:t>…</w:t>
      </w:r>
    </w:p>
    <w:p w14:paraId="48192792"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b/>
          <w:bCs/>
          <w:iCs/>
          <w:sz w:val="24"/>
          <w:szCs w:val="24"/>
          <w:lang w:val="es-ES"/>
        </w:rPr>
        <w:t xml:space="preserve">VIII. </w:t>
      </w:r>
      <w:r w:rsidRPr="00F1519D">
        <w:rPr>
          <w:rFonts w:ascii="Arial" w:hAnsi="Arial" w:cs="Arial"/>
          <w:iCs/>
          <w:sz w:val="24"/>
          <w:szCs w:val="24"/>
          <w:lang w:val="es-ES"/>
        </w:rPr>
        <w:t>SESIONES DEL COMITÉ TÉCNICO.</w:t>
      </w:r>
    </w:p>
    <w:p w14:paraId="7DFC0700"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51341C64"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0A1A3BE4"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28EF329A"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4E2D745C"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14E262E2"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2530FC6F"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b/>
          <w:bCs/>
          <w:iCs/>
          <w:sz w:val="24"/>
          <w:szCs w:val="24"/>
          <w:lang w:val="es-ES"/>
        </w:rPr>
        <w:t xml:space="preserve">IX. </w:t>
      </w:r>
      <w:r w:rsidRPr="00F1519D">
        <w:rPr>
          <w:rFonts w:ascii="Arial" w:hAnsi="Arial" w:cs="Arial"/>
          <w:iCs/>
          <w:sz w:val="24"/>
          <w:szCs w:val="24"/>
          <w:lang w:val="es-ES"/>
        </w:rPr>
        <w:t>ATRIBUCIONES DEL COMITÉ TÉCNICO.</w:t>
      </w:r>
    </w:p>
    <w:p w14:paraId="0957E7E9"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1648DFDC" w14:textId="77777777" w:rsidR="00FB782D" w:rsidRPr="00F1519D" w:rsidRDefault="00FC6DF5">
      <w:pPr>
        <w:spacing w:line="312" w:lineRule="auto"/>
        <w:ind w:left="426" w:right="49"/>
        <w:jc w:val="both"/>
        <w:rPr>
          <w:rFonts w:ascii="Arial" w:hAnsi="Arial" w:cs="Arial"/>
          <w:b/>
          <w:bCs/>
          <w:iCs/>
          <w:sz w:val="24"/>
          <w:szCs w:val="24"/>
          <w:lang w:val="es-ES"/>
        </w:rPr>
      </w:pPr>
      <w:r w:rsidRPr="00F1519D">
        <w:rPr>
          <w:rFonts w:ascii="Arial" w:hAnsi="Arial" w:cs="Arial"/>
          <w:iCs/>
          <w:sz w:val="24"/>
          <w:szCs w:val="24"/>
          <w:lang w:val="es-ES"/>
        </w:rPr>
        <w:t>I. a XXII. …</w:t>
      </w:r>
    </w:p>
    <w:p w14:paraId="79DEC147"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b/>
          <w:bCs/>
          <w:iCs/>
          <w:sz w:val="24"/>
          <w:szCs w:val="24"/>
          <w:lang w:val="es-ES"/>
        </w:rPr>
        <w:t xml:space="preserve">X. </w:t>
      </w:r>
      <w:r w:rsidRPr="00F1519D">
        <w:rPr>
          <w:rFonts w:ascii="Arial" w:hAnsi="Arial" w:cs="Arial"/>
          <w:iCs/>
          <w:sz w:val="24"/>
          <w:szCs w:val="24"/>
          <w:lang w:val="es-ES"/>
        </w:rPr>
        <w:t>DE LA FIDUCIARIA.</w:t>
      </w:r>
    </w:p>
    <w:p w14:paraId="3F1D4C2B"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lastRenderedPageBreak/>
        <w:t>…</w:t>
      </w:r>
    </w:p>
    <w:p w14:paraId="3D078B3F" w14:textId="77777777" w:rsidR="00FB782D" w:rsidRPr="00F1519D" w:rsidRDefault="00FC6DF5">
      <w:pPr>
        <w:spacing w:line="312" w:lineRule="auto"/>
        <w:ind w:right="49"/>
        <w:jc w:val="both"/>
        <w:rPr>
          <w:rFonts w:ascii="Arial" w:hAnsi="Arial" w:cs="Arial"/>
          <w:b/>
          <w:bCs/>
          <w:iCs/>
          <w:sz w:val="24"/>
          <w:szCs w:val="24"/>
          <w:lang w:val="es-ES"/>
        </w:rPr>
      </w:pPr>
      <w:r w:rsidRPr="00F1519D">
        <w:rPr>
          <w:rFonts w:ascii="Arial" w:hAnsi="Arial" w:cs="Arial"/>
          <w:iCs/>
          <w:sz w:val="24"/>
          <w:szCs w:val="24"/>
          <w:lang w:val="es-ES"/>
        </w:rPr>
        <w:t>…</w:t>
      </w:r>
    </w:p>
    <w:p w14:paraId="00B4D830"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b/>
          <w:bCs/>
          <w:iCs/>
          <w:sz w:val="24"/>
          <w:szCs w:val="24"/>
          <w:lang w:val="es-ES"/>
        </w:rPr>
        <w:t xml:space="preserve">XI. </w:t>
      </w:r>
      <w:r w:rsidRPr="00F1519D">
        <w:rPr>
          <w:rFonts w:ascii="Arial" w:hAnsi="Arial" w:cs="Arial"/>
          <w:iCs/>
          <w:sz w:val="24"/>
          <w:szCs w:val="24"/>
          <w:lang w:val="es-ES"/>
        </w:rPr>
        <w:t>DEL CONTRATO DE FIDEICOMISO.</w:t>
      </w:r>
    </w:p>
    <w:p w14:paraId="2334A883"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1FFCE1F7" w14:textId="77777777" w:rsidR="00FB782D" w:rsidRPr="00F1519D" w:rsidRDefault="00FC6DF5">
      <w:pPr>
        <w:spacing w:line="312" w:lineRule="auto"/>
        <w:ind w:right="49"/>
        <w:jc w:val="both"/>
        <w:rPr>
          <w:rFonts w:ascii="Arial" w:hAnsi="Arial" w:cs="Arial"/>
          <w:b/>
          <w:bCs/>
          <w:iCs/>
          <w:sz w:val="24"/>
          <w:szCs w:val="24"/>
          <w:lang w:val="es-ES"/>
        </w:rPr>
      </w:pPr>
      <w:r w:rsidRPr="00F1519D">
        <w:rPr>
          <w:rFonts w:ascii="Arial" w:hAnsi="Arial" w:cs="Arial"/>
          <w:iCs/>
          <w:sz w:val="24"/>
          <w:szCs w:val="24"/>
          <w:lang w:val="es-ES"/>
        </w:rPr>
        <w:t>…</w:t>
      </w:r>
    </w:p>
    <w:p w14:paraId="6DA99519" w14:textId="77777777" w:rsidR="00FB782D" w:rsidRPr="00F1519D" w:rsidRDefault="00FC6DF5">
      <w:pPr>
        <w:spacing w:line="312" w:lineRule="auto"/>
        <w:ind w:right="49"/>
        <w:jc w:val="both"/>
        <w:rPr>
          <w:rFonts w:ascii="Arial" w:hAnsi="Arial" w:cs="Arial"/>
          <w:b/>
          <w:bCs/>
          <w:iCs/>
          <w:sz w:val="24"/>
          <w:szCs w:val="24"/>
          <w:lang w:val="es-ES"/>
        </w:rPr>
      </w:pPr>
      <w:r w:rsidRPr="00F1519D">
        <w:rPr>
          <w:rFonts w:ascii="Arial" w:hAnsi="Arial" w:cs="Arial"/>
          <w:b/>
          <w:bCs/>
          <w:iCs/>
          <w:sz w:val="24"/>
          <w:szCs w:val="24"/>
          <w:lang w:val="es-ES"/>
        </w:rPr>
        <w:t xml:space="preserve">XII. </w:t>
      </w:r>
      <w:r w:rsidRPr="00F1519D">
        <w:rPr>
          <w:rFonts w:ascii="Arial" w:hAnsi="Arial" w:cs="Arial"/>
          <w:iCs/>
          <w:sz w:val="24"/>
          <w:szCs w:val="24"/>
          <w:lang w:val="es-ES"/>
        </w:rPr>
        <w:t>ESTRUCTURA DEL FIDEICOMISO.</w:t>
      </w:r>
    </w:p>
    <w:p w14:paraId="531AA035"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3F743451" w14:textId="77777777" w:rsidR="00FB782D" w:rsidRPr="00F1519D" w:rsidRDefault="00FC6DF5">
      <w:pPr>
        <w:spacing w:line="312" w:lineRule="auto"/>
        <w:ind w:right="49"/>
        <w:jc w:val="both"/>
        <w:rPr>
          <w:rFonts w:ascii="Arial" w:hAnsi="Arial" w:cs="Arial"/>
          <w:bCs/>
          <w:iCs/>
          <w:sz w:val="24"/>
          <w:szCs w:val="24"/>
          <w:lang w:val="es-ES"/>
        </w:rPr>
      </w:pPr>
      <w:r w:rsidRPr="00F1519D">
        <w:rPr>
          <w:rFonts w:ascii="Arial" w:hAnsi="Arial" w:cs="Arial"/>
          <w:bCs/>
          <w:iCs/>
          <w:sz w:val="24"/>
          <w:szCs w:val="24"/>
          <w:lang w:val="es-ES"/>
        </w:rPr>
        <w:t>El desempeño de la Dirección General del Fideicomiso recaerá en la persona titular de la</w:t>
      </w:r>
      <w:r w:rsidRPr="00F1519D">
        <w:rPr>
          <w:rFonts w:ascii="Arial" w:hAnsi="Arial" w:cs="Arial"/>
          <w:b/>
          <w:bCs/>
          <w:iCs/>
          <w:sz w:val="24"/>
          <w:szCs w:val="24"/>
          <w:lang w:val="es-ES"/>
        </w:rPr>
        <w:t xml:space="preserve"> Subsecretaría </w:t>
      </w:r>
      <w:r w:rsidRPr="00F1519D">
        <w:rPr>
          <w:rFonts w:ascii="Arial" w:hAnsi="Arial" w:cs="Arial"/>
          <w:bCs/>
          <w:iCs/>
          <w:sz w:val="24"/>
          <w:szCs w:val="24"/>
          <w:lang w:val="es-ES"/>
        </w:rPr>
        <w:t>de Transporte o en la persona que al efecto nombre el Comité.</w:t>
      </w:r>
    </w:p>
    <w:p w14:paraId="4097B14C" w14:textId="325090D8"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20B51067" w14:textId="57D16B89" w:rsidR="00FB782D" w:rsidRPr="00F1519D" w:rsidRDefault="00FC6DF5">
      <w:pPr>
        <w:spacing w:line="312" w:lineRule="auto"/>
        <w:ind w:left="426" w:right="49"/>
        <w:jc w:val="both"/>
        <w:rPr>
          <w:rFonts w:ascii="Arial" w:hAnsi="Arial" w:cs="Arial"/>
          <w:iCs/>
          <w:sz w:val="24"/>
          <w:szCs w:val="24"/>
          <w:lang w:val="es-ES"/>
        </w:rPr>
      </w:pPr>
      <w:r w:rsidRPr="00F1519D">
        <w:rPr>
          <w:rFonts w:ascii="Arial" w:hAnsi="Arial" w:cs="Arial"/>
          <w:iCs/>
          <w:sz w:val="24"/>
          <w:szCs w:val="24"/>
          <w:lang w:val="es-ES"/>
        </w:rPr>
        <w:t xml:space="preserve">a) al h) … </w:t>
      </w:r>
    </w:p>
    <w:p w14:paraId="409613C6"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15E558E0"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1F10A221" w14:textId="77777777" w:rsidR="00FB782D" w:rsidRPr="00F1519D" w:rsidRDefault="00FC6DF5">
      <w:pPr>
        <w:spacing w:line="312" w:lineRule="auto"/>
        <w:ind w:right="49"/>
        <w:jc w:val="both"/>
        <w:rPr>
          <w:rFonts w:ascii="Arial" w:hAnsi="Arial" w:cs="Arial"/>
          <w:iCs/>
          <w:sz w:val="24"/>
          <w:szCs w:val="24"/>
          <w:lang w:val="es-ES"/>
        </w:rPr>
      </w:pPr>
      <w:r w:rsidRPr="00F1519D">
        <w:rPr>
          <w:rFonts w:ascii="Arial" w:hAnsi="Arial" w:cs="Arial"/>
          <w:iCs/>
          <w:sz w:val="24"/>
          <w:szCs w:val="24"/>
          <w:lang w:val="es-ES"/>
        </w:rPr>
        <w:t>…</w:t>
      </w:r>
    </w:p>
    <w:p w14:paraId="01F087EB" w14:textId="77777777" w:rsidR="00FB782D" w:rsidRPr="00F1519D" w:rsidRDefault="00FC6DF5">
      <w:pPr>
        <w:spacing w:line="312" w:lineRule="auto"/>
        <w:jc w:val="both"/>
        <w:rPr>
          <w:rFonts w:ascii="Arial" w:hAnsi="Arial" w:cs="Arial"/>
          <w:iCs/>
          <w:sz w:val="24"/>
          <w:szCs w:val="24"/>
          <w:lang w:val="es-ES"/>
        </w:rPr>
      </w:pPr>
      <w:r w:rsidRPr="00F1519D">
        <w:rPr>
          <w:rFonts w:ascii="Arial" w:hAnsi="Arial" w:cs="Arial"/>
          <w:b/>
          <w:iCs/>
          <w:sz w:val="24"/>
          <w:szCs w:val="24"/>
          <w:lang w:val="es-ES"/>
        </w:rPr>
        <w:t>XIII.</w:t>
      </w:r>
      <w:r w:rsidRPr="00F1519D">
        <w:rPr>
          <w:rFonts w:ascii="Arial" w:hAnsi="Arial" w:cs="Arial"/>
          <w:iCs/>
          <w:sz w:val="24"/>
          <w:szCs w:val="24"/>
          <w:lang w:val="es-ES"/>
        </w:rPr>
        <w:t xml:space="preserve"> CÁMARA GENERAL DE COMPENSACIÓN.</w:t>
      </w:r>
    </w:p>
    <w:p w14:paraId="1142A580" w14:textId="77777777" w:rsidR="00FB782D" w:rsidRPr="00F1519D" w:rsidRDefault="00FC6DF5">
      <w:pPr>
        <w:spacing w:line="312" w:lineRule="auto"/>
        <w:jc w:val="both"/>
        <w:rPr>
          <w:rFonts w:ascii="Arial" w:hAnsi="Arial" w:cs="Arial"/>
          <w:iCs/>
          <w:sz w:val="24"/>
          <w:szCs w:val="24"/>
          <w:lang w:val="es-ES"/>
        </w:rPr>
      </w:pPr>
      <w:r w:rsidRPr="00F1519D">
        <w:rPr>
          <w:rFonts w:ascii="Arial" w:hAnsi="Arial" w:cs="Arial"/>
          <w:iCs/>
          <w:sz w:val="24"/>
          <w:szCs w:val="24"/>
          <w:lang w:val="es-ES"/>
        </w:rPr>
        <w:t>…</w:t>
      </w:r>
    </w:p>
    <w:p w14:paraId="58CBE2F9" w14:textId="77777777" w:rsidR="00FB782D" w:rsidRPr="00F1519D" w:rsidRDefault="00FC6DF5" w:rsidP="00F1519D">
      <w:pPr>
        <w:spacing w:line="312" w:lineRule="auto"/>
        <w:ind w:left="426"/>
        <w:jc w:val="both"/>
        <w:rPr>
          <w:rFonts w:ascii="Arial" w:hAnsi="Arial" w:cs="Arial"/>
          <w:b/>
          <w:bCs/>
          <w:iCs/>
          <w:sz w:val="24"/>
          <w:szCs w:val="24"/>
          <w:lang w:val="es-ES"/>
        </w:rPr>
      </w:pPr>
      <w:r>
        <w:rPr>
          <w:rFonts w:ascii="Arial" w:hAnsi="Arial" w:cs="Arial"/>
          <w:bCs/>
          <w:iCs/>
          <w:sz w:val="24"/>
          <w:szCs w:val="24"/>
          <w:lang w:val="es-ES"/>
        </w:rPr>
        <w:t xml:space="preserve">a) </w:t>
      </w:r>
      <w:r w:rsidRPr="00F1519D">
        <w:rPr>
          <w:rFonts w:ascii="Arial" w:hAnsi="Arial" w:cs="Arial"/>
          <w:bCs/>
          <w:iCs/>
          <w:sz w:val="24"/>
          <w:szCs w:val="24"/>
          <w:lang w:val="es-ES"/>
        </w:rPr>
        <w:t>al d) …</w:t>
      </w:r>
    </w:p>
    <w:p w14:paraId="34AA77A8" w14:textId="77777777" w:rsidR="00FB782D" w:rsidRPr="00F1519D" w:rsidRDefault="00FC6DF5">
      <w:pPr>
        <w:spacing w:line="312" w:lineRule="auto"/>
        <w:jc w:val="both"/>
        <w:rPr>
          <w:rFonts w:ascii="Arial" w:hAnsi="Arial" w:cs="Arial"/>
          <w:bCs/>
          <w:iCs/>
          <w:sz w:val="24"/>
          <w:szCs w:val="24"/>
          <w:lang w:val="es-ES"/>
        </w:rPr>
      </w:pPr>
      <w:r w:rsidRPr="00F1519D">
        <w:rPr>
          <w:rFonts w:ascii="Arial" w:hAnsi="Arial" w:cs="Arial"/>
          <w:bCs/>
          <w:iCs/>
          <w:sz w:val="24"/>
          <w:szCs w:val="24"/>
          <w:lang w:val="es-ES"/>
        </w:rPr>
        <w:t>...</w:t>
      </w:r>
    </w:p>
    <w:p w14:paraId="214FF607" w14:textId="77777777" w:rsidR="00FB782D" w:rsidRPr="00F1519D" w:rsidRDefault="00FC6DF5">
      <w:pPr>
        <w:spacing w:line="312" w:lineRule="auto"/>
        <w:jc w:val="both"/>
        <w:rPr>
          <w:rFonts w:ascii="Arial" w:hAnsi="Arial" w:cs="Arial"/>
          <w:iCs/>
          <w:sz w:val="24"/>
          <w:szCs w:val="24"/>
          <w:lang w:val="es-ES"/>
        </w:rPr>
      </w:pPr>
      <w:r w:rsidRPr="00F1519D">
        <w:rPr>
          <w:rFonts w:ascii="Arial" w:hAnsi="Arial" w:cs="Arial"/>
          <w:b/>
          <w:bCs/>
          <w:iCs/>
          <w:sz w:val="24"/>
          <w:szCs w:val="24"/>
          <w:lang w:val="es-ES"/>
        </w:rPr>
        <w:t xml:space="preserve">XIV. </w:t>
      </w:r>
      <w:r w:rsidRPr="00F1519D">
        <w:rPr>
          <w:rFonts w:ascii="Arial" w:hAnsi="Arial" w:cs="Arial"/>
          <w:iCs/>
          <w:sz w:val="24"/>
          <w:szCs w:val="24"/>
          <w:lang w:val="es-ES"/>
        </w:rPr>
        <w:t>RENDICIÓN DE CUENTAS.</w:t>
      </w:r>
    </w:p>
    <w:p w14:paraId="0AD4C83E" w14:textId="77777777" w:rsidR="00FB782D" w:rsidRPr="00F1519D" w:rsidRDefault="00FC6DF5">
      <w:pPr>
        <w:spacing w:line="312" w:lineRule="auto"/>
        <w:jc w:val="both"/>
        <w:rPr>
          <w:rFonts w:ascii="Arial" w:hAnsi="Arial" w:cs="Arial"/>
          <w:iCs/>
          <w:sz w:val="24"/>
          <w:szCs w:val="24"/>
          <w:lang w:val="es-ES"/>
        </w:rPr>
      </w:pPr>
      <w:r w:rsidRPr="00F1519D">
        <w:rPr>
          <w:rFonts w:ascii="Arial" w:hAnsi="Arial" w:cs="Arial"/>
          <w:iCs/>
          <w:sz w:val="24"/>
          <w:szCs w:val="24"/>
          <w:lang w:val="es-ES"/>
        </w:rPr>
        <w:t>…</w:t>
      </w:r>
    </w:p>
    <w:p w14:paraId="6C717F3B" w14:textId="77777777" w:rsidR="00FB782D" w:rsidRPr="00F1519D" w:rsidRDefault="00FC6DF5">
      <w:pPr>
        <w:spacing w:line="312" w:lineRule="auto"/>
        <w:jc w:val="both"/>
        <w:rPr>
          <w:rFonts w:ascii="Arial" w:hAnsi="Arial" w:cs="Arial"/>
          <w:b/>
          <w:bCs/>
          <w:iCs/>
          <w:sz w:val="24"/>
          <w:szCs w:val="24"/>
          <w:lang w:val="es-ES"/>
        </w:rPr>
      </w:pPr>
      <w:r w:rsidRPr="00F1519D">
        <w:rPr>
          <w:rFonts w:ascii="Arial" w:hAnsi="Arial" w:cs="Arial"/>
          <w:iCs/>
          <w:sz w:val="24"/>
          <w:szCs w:val="24"/>
          <w:lang w:val="es-ES"/>
        </w:rPr>
        <w:t>…</w:t>
      </w:r>
    </w:p>
    <w:p w14:paraId="080411E7" w14:textId="77777777" w:rsidR="00FB782D" w:rsidRPr="00F1519D" w:rsidRDefault="00FC6DF5">
      <w:pPr>
        <w:spacing w:line="312" w:lineRule="auto"/>
        <w:jc w:val="both"/>
        <w:rPr>
          <w:rFonts w:ascii="Arial" w:hAnsi="Arial" w:cs="Arial"/>
          <w:iCs/>
          <w:sz w:val="24"/>
          <w:szCs w:val="24"/>
          <w:lang w:val="es-ES"/>
        </w:rPr>
      </w:pPr>
      <w:r w:rsidRPr="00F1519D">
        <w:rPr>
          <w:rFonts w:ascii="Arial" w:hAnsi="Arial" w:cs="Arial"/>
          <w:b/>
          <w:bCs/>
          <w:iCs/>
          <w:sz w:val="24"/>
          <w:szCs w:val="24"/>
          <w:lang w:val="es-ES"/>
        </w:rPr>
        <w:t xml:space="preserve">XV. </w:t>
      </w:r>
      <w:r w:rsidRPr="00F1519D">
        <w:rPr>
          <w:rFonts w:ascii="Arial" w:hAnsi="Arial" w:cs="Arial"/>
          <w:iCs/>
          <w:sz w:val="24"/>
          <w:szCs w:val="24"/>
          <w:lang w:val="es-ES"/>
        </w:rPr>
        <w:t>ÓRGANO INTERNO DE CONTROL. VIGILANCIA.</w:t>
      </w:r>
    </w:p>
    <w:p w14:paraId="11B665B5" w14:textId="77777777" w:rsidR="00FB782D" w:rsidRPr="00F1519D" w:rsidRDefault="00FC6DF5">
      <w:pPr>
        <w:spacing w:line="312" w:lineRule="auto"/>
        <w:jc w:val="both"/>
        <w:rPr>
          <w:rFonts w:ascii="Arial" w:hAnsi="Arial" w:cs="Arial"/>
          <w:b/>
          <w:bCs/>
          <w:iCs/>
          <w:sz w:val="24"/>
          <w:szCs w:val="24"/>
          <w:lang w:val="es-ES"/>
        </w:rPr>
      </w:pPr>
      <w:r w:rsidRPr="00F1519D">
        <w:rPr>
          <w:rFonts w:ascii="Arial" w:hAnsi="Arial" w:cs="Arial"/>
          <w:iCs/>
          <w:sz w:val="24"/>
          <w:szCs w:val="24"/>
          <w:lang w:val="es-ES"/>
        </w:rPr>
        <w:t>…</w:t>
      </w:r>
    </w:p>
    <w:p w14:paraId="2A9181E4" w14:textId="002A1340" w:rsidR="00FB782D" w:rsidRDefault="00FB782D">
      <w:pPr>
        <w:spacing w:line="312" w:lineRule="auto"/>
        <w:jc w:val="both"/>
        <w:rPr>
          <w:rFonts w:ascii="Arial" w:hAnsi="Arial" w:cs="Arial"/>
          <w:b/>
          <w:sz w:val="24"/>
          <w:szCs w:val="24"/>
          <w:lang w:val="en-US"/>
        </w:rPr>
      </w:pPr>
    </w:p>
    <w:p w14:paraId="69313FE3" w14:textId="77777777" w:rsidR="003833F2" w:rsidRPr="00F1519D" w:rsidRDefault="003833F2">
      <w:pPr>
        <w:spacing w:line="312" w:lineRule="auto"/>
        <w:jc w:val="both"/>
        <w:rPr>
          <w:rFonts w:ascii="Arial" w:hAnsi="Arial" w:cs="Arial"/>
          <w:b/>
          <w:sz w:val="24"/>
          <w:szCs w:val="24"/>
          <w:lang w:val="en-US"/>
        </w:rPr>
      </w:pPr>
    </w:p>
    <w:p w14:paraId="710089A9" w14:textId="77777777" w:rsidR="00FB782D" w:rsidRPr="00F1519D" w:rsidRDefault="00FC6DF5">
      <w:pPr>
        <w:spacing w:line="312" w:lineRule="auto"/>
        <w:jc w:val="center"/>
        <w:rPr>
          <w:rFonts w:ascii="Arial" w:hAnsi="Arial" w:cs="Arial"/>
          <w:b/>
          <w:sz w:val="24"/>
          <w:szCs w:val="24"/>
          <w:lang w:val="en-US"/>
        </w:rPr>
      </w:pPr>
      <w:r w:rsidRPr="00F1519D">
        <w:rPr>
          <w:rFonts w:ascii="Arial" w:hAnsi="Arial" w:cs="Arial"/>
          <w:b/>
          <w:sz w:val="24"/>
          <w:szCs w:val="24"/>
          <w:lang w:val="en-US"/>
        </w:rPr>
        <w:t>TRANSITORIOS</w:t>
      </w:r>
    </w:p>
    <w:p w14:paraId="7C296BD0" w14:textId="77777777" w:rsidR="00FB782D" w:rsidRPr="00F1519D" w:rsidRDefault="00FC6DF5">
      <w:pPr>
        <w:spacing w:line="312" w:lineRule="auto"/>
        <w:jc w:val="both"/>
        <w:rPr>
          <w:rFonts w:ascii="Arial" w:hAnsi="Arial" w:cs="Arial"/>
          <w:sz w:val="24"/>
          <w:szCs w:val="24"/>
          <w:lang w:val="es-ES"/>
        </w:rPr>
      </w:pPr>
      <w:r w:rsidRPr="00F1519D">
        <w:rPr>
          <w:rFonts w:ascii="Arial" w:hAnsi="Arial" w:cs="Arial"/>
          <w:b/>
          <w:sz w:val="24"/>
          <w:szCs w:val="24"/>
          <w:lang w:val="es-ES"/>
        </w:rPr>
        <w:t xml:space="preserve">PRIMERO. - </w:t>
      </w:r>
      <w:r w:rsidRPr="00F1519D">
        <w:rPr>
          <w:rFonts w:ascii="Arial" w:hAnsi="Arial" w:cs="Arial"/>
          <w:sz w:val="24"/>
          <w:szCs w:val="24"/>
          <w:lang w:val="es-ES"/>
        </w:rPr>
        <w:t>El presente Decreto entrará en vigor al día siguiente de su publicación en el Periódico Oficial del Estado.</w:t>
      </w:r>
    </w:p>
    <w:p w14:paraId="5C1A0D63" w14:textId="77777777" w:rsidR="00FB782D" w:rsidRPr="00F1519D" w:rsidRDefault="00FB782D">
      <w:pPr>
        <w:spacing w:after="0" w:line="312" w:lineRule="auto"/>
        <w:jc w:val="both"/>
        <w:rPr>
          <w:rFonts w:ascii="Arial" w:hAnsi="Arial" w:cs="Arial"/>
          <w:sz w:val="24"/>
          <w:szCs w:val="24"/>
          <w:lang w:val="es-ES"/>
        </w:rPr>
      </w:pPr>
    </w:p>
    <w:p w14:paraId="501BEEAE" w14:textId="5A674F48" w:rsidR="00FB782D" w:rsidRPr="00F1519D" w:rsidRDefault="00FC6DF5" w:rsidP="00F1519D">
      <w:pPr>
        <w:spacing w:line="312" w:lineRule="auto"/>
        <w:jc w:val="both"/>
        <w:rPr>
          <w:rFonts w:ascii="Arial" w:hAnsi="Arial" w:cs="Arial"/>
          <w:sz w:val="24"/>
          <w:szCs w:val="24"/>
          <w:lang w:val="es-ES"/>
        </w:rPr>
      </w:pPr>
      <w:r w:rsidRPr="00F1519D">
        <w:rPr>
          <w:rFonts w:ascii="Arial" w:hAnsi="Arial" w:cs="Arial"/>
          <w:b/>
          <w:sz w:val="24"/>
          <w:szCs w:val="24"/>
          <w:lang w:val="es-ES"/>
        </w:rPr>
        <w:t xml:space="preserve">SEGUNDO. - </w:t>
      </w:r>
      <w:r w:rsidRPr="00F1519D">
        <w:rPr>
          <w:rFonts w:ascii="Arial" w:hAnsi="Arial" w:cs="Arial"/>
          <w:sz w:val="24"/>
          <w:szCs w:val="24"/>
          <w:lang w:val="es-ES"/>
        </w:rPr>
        <w:t>Se autoriza a la Secretaría de Hacienda a efecto de que se modifique, en lo correspondiente, el contrato del “Fideicomiso Maestro SIT Chihuahua” y se contemplen los términos del presente Decreto.</w:t>
      </w:r>
    </w:p>
    <w:p w14:paraId="5507C6C6" w14:textId="77777777" w:rsidR="00FB782D" w:rsidRPr="00F1519D" w:rsidRDefault="00FC6DF5">
      <w:pPr>
        <w:spacing w:after="0" w:line="300" w:lineRule="auto"/>
        <w:jc w:val="both"/>
        <w:rPr>
          <w:rFonts w:ascii="Arial" w:hAnsi="Arial" w:cs="Arial"/>
          <w:sz w:val="24"/>
          <w:szCs w:val="24"/>
          <w:lang w:val="es-ES"/>
        </w:rPr>
      </w:pPr>
      <w:r w:rsidRPr="00F1519D">
        <w:rPr>
          <w:rFonts w:ascii="Arial" w:hAnsi="Arial" w:cs="Arial"/>
          <w:sz w:val="24"/>
          <w:szCs w:val="24"/>
          <w:lang w:val="es-ES"/>
        </w:rPr>
        <w:t>Reitero a este H. Congreso la seguridad de mi atenta y distinguida consideración.</w:t>
      </w:r>
    </w:p>
    <w:p w14:paraId="30574D60" w14:textId="77777777" w:rsidR="00FB782D" w:rsidRPr="00F1519D" w:rsidRDefault="00FB782D">
      <w:pPr>
        <w:spacing w:after="0" w:line="240" w:lineRule="auto"/>
        <w:jc w:val="both"/>
        <w:rPr>
          <w:rFonts w:ascii="Arial" w:hAnsi="Arial" w:cs="Arial"/>
          <w:sz w:val="24"/>
          <w:szCs w:val="24"/>
          <w:lang w:val="es-ES"/>
        </w:rPr>
      </w:pPr>
    </w:p>
    <w:p w14:paraId="2040253B" w14:textId="77777777" w:rsidR="00FB782D" w:rsidRPr="00F1519D" w:rsidRDefault="00FB782D">
      <w:pPr>
        <w:spacing w:after="0" w:line="240" w:lineRule="auto"/>
        <w:jc w:val="both"/>
        <w:rPr>
          <w:rFonts w:ascii="Arial" w:hAnsi="Arial" w:cs="Arial"/>
          <w:sz w:val="24"/>
          <w:szCs w:val="24"/>
          <w:lang w:val="es-ES"/>
        </w:rPr>
      </w:pPr>
    </w:p>
    <w:p w14:paraId="266184B4" w14:textId="3A0FEF9B" w:rsidR="00FB782D" w:rsidRPr="00F1519D" w:rsidRDefault="00FC6DF5">
      <w:pPr>
        <w:spacing w:after="0" w:line="240" w:lineRule="auto"/>
        <w:contextualSpacing/>
        <w:jc w:val="both"/>
        <w:rPr>
          <w:rFonts w:ascii="Arial" w:hAnsi="Arial" w:cs="Arial"/>
          <w:sz w:val="24"/>
          <w:szCs w:val="24"/>
          <w:lang w:val="es-ES"/>
        </w:rPr>
      </w:pPr>
      <w:r w:rsidRPr="00F1519D">
        <w:rPr>
          <w:rFonts w:ascii="Arial" w:hAnsi="Arial" w:cs="Arial"/>
          <w:sz w:val="24"/>
          <w:szCs w:val="24"/>
          <w:lang w:val="es-ES"/>
        </w:rPr>
        <w:t xml:space="preserve">Dado en el Palacio del Poder Ejecutivo, en la ciudad de Chihuahua, Chih., a los </w:t>
      </w:r>
      <w:r w:rsidR="003833F2">
        <w:rPr>
          <w:rFonts w:ascii="Arial" w:hAnsi="Arial" w:cs="Arial"/>
          <w:sz w:val="24"/>
          <w:szCs w:val="24"/>
          <w:lang w:val="es-ES"/>
        </w:rPr>
        <w:t>ocho</w:t>
      </w:r>
      <w:r w:rsidRPr="00F1519D">
        <w:rPr>
          <w:rFonts w:ascii="Arial" w:hAnsi="Arial" w:cs="Arial"/>
          <w:sz w:val="24"/>
          <w:szCs w:val="24"/>
          <w:lang w:val="es-ES"/>
        </w:rPr>
        <w:t xml:space="preserve"> días del mes de </w:t>
      </w:r>
      <w:r w:rsidR="003833F2">
        <w:rPr>
          <w:rFonts w:ascii="Arial" w:hAnsi="Arial" w:cs="Arial"/>
          <w:sz w:val="24"/>
          <w:szCs w:val="24"/>
          <w:lang w:val="es-ES"/>
        </w:rPr>
        <w:t>julio</w:t>
      </w:r>
      <w:r w:rsidRPr="00F1519D">
        <w:rPr>
          <w:rFonts w:ascii="Arial" w:hAnsi="Arial" w:cs="Arial"/>
          <w:sz w:val="24"/>
          <w:szCs w:val="24"/>
          <w:lang w:val="es-ES"/>
        </w:rPr>
        <w:t xml:space="preserve"> del año dos mil veinticuatro.</w:t>
      </w:r>
    </w:p>
    <w:p w14:paraId="58963712" w14:textId="77777777" w:rsidR="00FB782D" w:rsidRPr="00F1519D" w:rsidRDefault="00FB782D">
      <w:pPr>
        <w:spacing w:after="0" w:line="240" w:lineRule="auto"/>
        <w:contextualSpacing/>
        <w:jc w:val="center"/>
        <w:rPr>
          <w:rFonts w:ascii="Arial" w:hAnsi="Arial" w:cs="Arial"/>
          <w:b/>
          <w:sz w:val="24"/>
          <w:szCs w:val="24"/>
          <w:lang w:val="es-ES"/>
        </w:rPr>
      </w:pPr>
    </w:p>
    <w:p w14:paraId="7BA8F17D" w14:textId="77777777" w:rsidR="00087107" w:rsidRPr="00F1519D" w:rsidRDefault="00087107">
      <w:pPr>
        <w:spacing w:after="0" w:line="240" w:lineRule="auto"/>
        <w:contextualSpacing/>
        <w:jc w:val="center"/>
        <w:rPr>
          <w:rFonts w:ascii="Arial" w:hAnsi="Arial" w:cs="Arial"/>
          <w:b/>
          <w:sz w:val="4"/>
          <w:szCs w:val="24"/>
          <w:lang w:val="es-ES"/>
        </w:rPr>
      </w:pPr>
    </w:p>
    <w:p w14:paraId="61180B5B" w14:textId="77777777" w:rsidR="00FB782D" w:rsidRPr="00F1519D" w:rsidRDefault="00FB782D">
      <w:pPr>
        <w:spacing w:after="0" w:line="240" w:lineRule="auto"/>
        <w:contextualSpacing/>
        <w:jc w:val="center"/>
        <w:rPr>
          <w:rFonts w:ascii="Arial" w:hAnsi="Arial" w:cs="Arial"/>
          <w:b/>
          <w:sz w:val="24"/>
          <w:szCs w:val="24"/>
          <w:lang w:val="es-ES"/>
        </w:rPr>
      </w:pPr>
    </w:p>
    <w:p w14:paraId="712143BD" w14:textId="77777777" w:rsidR="00FB782D" w:rsidRPr="00F1519D" w:rsidRDefault="00FB782D">
      <w:pPr>
        <w:spacing w:after="0" w:line="240" w:lineRule="auto"/>
        <w:contextualSpacing/>
        <w:jc w:val="center"/>
        <w:rPr>
          <w:rFonts w:ascii="Arial" w:hAnsi="Arial" w:cs="Arial"/>
          <w:b/>
          <w:sz w:val="24"/>
          <w:szCs w:val="24"/>
          <w:lang w:val="es-ES"/>
        </w:rPr>
      </w:pPr>
    </w:p>
    <w:p w14:paraId="315674F3" w14:textId="77777777" w:rsidR="00FB782D" w:rsidRPr="00F1519D" w:rsidRDefault="00FB782D">
      <w:pPr>
        <w:spacing w:after="0" w:line="240" w:lineRule="auto"/>
        <w:contextualSpacing/>
        <w:jc w:val="center"/>
        <w:rPr>
          <w:rFonts w:ascii="Arial" w:hAnsi="Arial" w:cs="Arial"/>
          <w:b/>
          <w:sz w:val="24"/>
          <w:szCs w:val="24"/>
          <w:lang w:val="es-ES"/>
        </w:rPr>
      </w:pPr>
    </w:p>
    <w:p w14:paraId="3F9EDD2C" w14:textId="77777777" w:rsidR="00FB782D" w:rsidRDefault="00FC6DF5">
      <w:pPr>
        <w:spacing w:after="0" w:line="240" w:lineRule="auto"/>
        <w:contextualSpacing/>
        <w:jc w:val="center"/>
        <w:rPr>
          <w:rFonts w:ascii="Arial" w:hAnsi="Arial" w:cs="Arial"/>
          <w:b/>
          <w:sz w:val="24"/>
          <w:szCs w:val="24"/>
          <w:lang w:val="es-ES"/>
        </w:rPr>
      </w:pPr>
      <w:r>
        <w:rPr>
          <w:rFonts w:ascii="Arial" w:hAnsi="Arial" w:cs="Arial"/>
          <w:b/>
          <w:sz w:val="24"/>
          <w:szCs w:val="24"/>
          <w:lang w:val="es-ES"/>
        </w:rPr>
        <w:t>MTRA. MARÍA EUGENIA CAMPOS GALVÁN</w:t>
      </w:r>
    </w:p>
    <w:p w14:paraId="4C97C098" w14:textId="77777777" w:rsidR="00FB782D" w:rsidRPr="0024582D" w:rsidRDefault="00FC6DF5">
      <w:pPr>
        <w:spacing w:after="0" w:line="240" w:lineRule="auto"/>
        <w:contextualSpacing/>
        <w:jc w:val="center"/>
        <w:rPr>
          <w:rFonts w:ascii="Arial" w:hAnsi="Arial" w:cs="Arial"/>
          <w:b/>
          <w:sz w:val="24"/>
          <w:szCs w:val="24"/>
          <w:lang w:val="es-ES"/>
        </w:rPr>
      </w:pPr>
      <w:r w:rsidRPr="0024582D">
        <w:rPr>
          <w:rFonts w:ascii="Arial" w:hAnsi="Arial" w:cs="Arial"/>
          <w:b/>
          <w:sz w:val="24"/>
          <w:szCs w:val="24"/>
          <w:lang w:val="es-ES"/>
        </w:rPr>
        <w:t>GOBERNADORA CONSTITUCIONAL DEL ESTADO DE CHIHUAHUA.</w:t>
      </w:r>
    </w:p>
    <w:p w14:paraId="74C4585D" w14:textId="77777777" w:rsidR="00FB782D" w:rsidRPr="00087107" w:rsidRDefault="00FB782D">
      <w:pPr>
        <w:spacing w:after="0" w:line="240" w:lineRule="auto"/>
        <w:contextualSpacing/>
        <w:jc w:val="center"/>
        <w:rPr>
          <w:rFonts w:ascii="Arial" w:hAnsi="Arial" w:cs="Arial"/>
          <w:b/>
          <w:sz w:val="24"/>
          <w:szCs w:val="24"/>
          <w:lang w:val="es-ES"/>
        </w:rPr>
      </w:pPr>
    </w:p>
    <w:p w14:paraId="2B7EDD20" w14:textId="77777777" w:rsidR="00FB782D" w:rsidRPr="00F1519D" w:rsidRDefault="00FB782D">
      <w:pPr>
        <w:spacing w:after="0" w:line="240" w:lineRule="auto"/>
        <w:contextualSpacing/>
        <w:jc w:val="center"/>
        <w:rPr>
          <w:rFonts w:ascii="Arial" w:hAnsi="Arial" w:cs="Arial"/>
          <w:b/>
          <w:sz w:val="24"/>
          <w:szCs w:val="24"/>
          <w:lang w:val="es-ES"/>
        </w:rPr>
      </w:pPr>
    </w:p>
    <w:p w14:paraId="3CF5D97C" w14:textId="77777777" w:rsidR="00FB782D" w:rsidRPr="00F1519D" w:rsidRDefault="00FB782D">
      <w:pPr>
        <w:spacing w:after="0" w:line="240" w:lineRule="auto"/>
        <w:contextualSpacing/>
        <w:jc w:val="center"/>
        <w:rPr>
          <w:rFonts w:ascii="Arial" w:hAnsi="Arial" w:cs="Arial"/>
          <w:b/>
          <w:sz w:val="24"/>
          <w:szCs w:val="24"/>
          <w:lang w:val="es-ES"/>
        </w:rPr>
      </w:pPr>
    </w:p>
    <w:p w14:paraId="64BFD1EB" w14:textId="77777777" w:rsidR="00FB782D" w:rsidRPr="00F1519D" w:rsidRDefault="00FB782D">
      <w:pPr>
        <w:spacing w:after="0" w:line="240" w:lineRule="auto"/>
        <w:contextualSpacing/>
        <w:rPr>
          <w:rFonts w:ascii="Arial" w:hAnsi="Arial" w:cs="Arial"/>
          <w:b/>
          <w:sz w:val="2"/>
          <w:szCs w:val="24"/>
          <w:lang w:val="es-ES"/>
        </w:rPr>
      </w:pPr>
    </w:p>
    <w:p w14:paraId="24308E97" w14:textId="77777777" w:rsidR="00FB782D" w:rsidRPr="00087107" w:rsidRDefault="00FB782D">
      <w:pPr>
        <w:spacing w:after="0" w:line="240" w:lineRule="auto"/>
        <w:contextualSpacing/>
        <w:rPr>
          <w:rFonts w:ascii="Arial" w:hAnsi="Arial" w:cs="Arial"/>
          <w:b/>
          <w:sz w:val="24"/>
          <w:szCs w:val="24"/>
          <w:lang w:val="es-ES"/>
        </w:rPr>
      </w:pPr>
    </w:p>
    <w:p w14:paraId="40DA6C7F" w14:textId="77777777" w:rsidR="00FB782D" w:rsidRPr="00F1519D" w:rsidRDefault="00FB782D">
      <w:pPr>
        <w:spacing w:after="0" w:line="240" w:lineRule="auto"/>
        <w:contextualSpacing/>
        <w:rPr>
          <w:rFonts w:ascii="Arial" w:hAnsi="Arial" w:cs="Arial"/>
          <w:b/>
          <w:sz w:val="24"/>
          <w:szCs w:val="24"/>
          <w:lang w:val="es-ES"/>
        </w:rPr>
      </w:pPr>
    </w:p>
    <w:p w14:paraId="2DE52327" w14:textId="77777777" w:rsidR="00FB782D" w:rsidRPr="00F1519D" w:rsidRDefault="00FC6DF5">
      <w:pPr>
        <w:spacing w:after="0" w:line="240" w:lineRule="auto"/>
        <w:contextualSpacing/>
        <w:jc w:val="center"/>
        <w:rPr>
          <w:rFonts w:ascii="Arial" w:hAnsi="Arial" w:cs="Arial"/>
          <w:b/>
          <w:sz w:val="24"/>
          <w:szCs w:val="24"/>
          <w:lang w:val="es-ES"/>
        </w:rPr>
      </w:pPr>
      <w:r w:rsidRPr="00F1519D">
        <w:rPr>
          <w:rFonts w:ascii="Arial" w:hAnsi="Arial" w:cs="Arial"/>
          <w:b/>
          <w:sz w:val="24"/>
          <w:szCs w:val="24"/>
          <w:lang w:val="es-ES"/>
        </w:rPr>
        <w:t>LIC. SANTIAGO DE LA PEÑA GRAJEDA</w:t>
      </w:r>
    </w:p>
    <w:p w14:paraId="4A824F88" w14:textId="77777777" w:rsidR="00FB782D" w:rsidRPr="00F1519D" w:rsidRDefault="00FC6DF5">
      <w:pPr>
        <w:spacing w:after="0" w:line="240" w:lineRule="auto"/>
        <w:contextualSpacing/>
        <w:jc w:val="center"/>
        <w:rPr>
          <w:rFonts w:ascii="Arial" w:hAnsi="Arial" w:cs="Arial"/>
          <w:b/>
          <w:sz w:val="24"/>
          <w:szCs w:val="24"/>
          <w:lang w:val="es-ES"/>
        </w:rPr>
      </w:pPr>
      <w:r w:rsidRPr="00F1519D">
        <w:rPr>
          <w:rFonts w:ascii="Arial" w:hAnsi="Arial" w:cs="Arial"/>
          <w:b/>
          <w:sz w:val="24"/>
          <w:szCs w:val="24"/>
          <w:lang w:val="es-ES"/>
        </w:rPr>
        <w:t>SECRETARIO GENERAL DE GOBIERNO.</w:t>
      </w:r>
    </w:p>
    <w:p w14:paraId="0431EF60" w14:textId="77777777" w:rsidR="00FB782D" w:rsidRDefault="00FB782D">
      <w:pPr>
        <w:spacing w:after="0" w:line="240" w:lineRule="auto"/>
        <w:contextualSpacing/>
        <w:jc w:val="center"/>
        <w:rPr>
          <w:rFonts w:ascii="Arial" w:hAnsi="Arial" w:cs="Arial"/>
          <w:b/>
          <w:sz w:val="24"/>
          <w:szCs w:val="26"/>
          <w:lang w:val="es-ES"/>
        </w:rPr>
      </w:pPr>
    </w:p>
    <w:p w14:paraId="0AB8D69F" w14:textId="77777777" w:rsidR="00FB782D" w:rsidRDefault="00FB782D">
      <w:pPr>
        <w:spacing w:after="0" w:line="240" w:lineRule="auto"/>
        <w:contextualSpacing/>
        <w:jc w:val="center"/>
        <w:rPr>
          <w:rFonts w:ascii="Arial" w:hAnsi="Arial" w:cs="Arial"/>
          <w:b/>
          <w:sz w:val="24"/>
          <w:szCs w:val="26"/>
          <w:lang w:val="es-ES"/>
        </w:rPr>
      </w:pPr>
    </w:p>
    <w:p w14:paraId="72661967" w14:textId="77777777" w:rsidR="00FB782D" w:rsidRDefault="00FB782D">
      <w:pPr>
        <w:spacing w:after="0" w:line="240" w:lineRule="auto"/>
        <w:contextualSpacing/>
        <w:jc w:val="center"/>
        <w:rPr>
          <w:rFonts w:ascii="Arial" w:hAnsi="Arial" w:cs="Arial"/>
          <w:b/>
          <w:sz w:val="24"/>
          <w:szCs w:val="26"/>
          <w:lang w:val="es-ES"/>
        </w:rPr>
      </w:pPr>
    </w:p>
    <w:p w14:paraId="70ADCDDF" w14:textId="77777777" w:rsidR="00FB782D" w:rsidRDefault="00FB782D">
      <w:pPr>
        <w:spacing w:after="0" w:line="240" w:lineRule="auto"/>
        <w:contextualSpacing/>
        <w:rPr>
          <w:rFonts w:ascii="Arial" w:hAnsi="Arial" w:cs="Arial"/>
          <w:b/>
          <w:sz w:val="24"/>
          <w:szCs w:val="26"/>
          <w:lang w:val="es-ES"/>
        </w:rPr>
      </w:pPr>
    </w:p>
    <w:p w14:paraId="75DB041B" w14:textId="77777777" w:rsidR="00FB782D" w:rsidRDefault="00FB782D">
      <w:pPr>
        <w:spacing w:after="0" w:line="240" w:lineRule="auto"/>
        <w:contextualSpacing/>
        <w:rPr>
          <w:rFonts w:ascii="Arial" w:hAnsi="Arial" w:cs="Arial"/>
          <w:b/>
          <w:sz w:val="24"/>
          <w:szCs w:val="26"/>
          <w:lang w:val="es-ES"/>
        </w:rPr>
      </w:pPr>
    </w:p>
    <w:p w14:paraId="6511E165" w14:textId="77777777" w:rsidR="00FB782D" w:rsidRDefault="00FB782D">
      <w:pPr>
        <w:spacing w:after="0" w:line="240" w:lineRule="auto"/>
        <w:contextualSpacing/>
        <w:rPr>
          <w:rFonts w:ascii="Arial" w:hAnsi="Arial" w:cs="Arial"/>
          <w:b/>
          <w:sz w:val="24"/>
          <w:szCs w:val="26"/>
          <w:lang w:val="es-ES"/>
        </w:rPr>
      </w:pPr>
    </w:p>
    <w:p w14:paraId="650C873B" w14:textId="77777777" w:rsidR="00FB782D" w:rsidRDefault="00FC6DF5" w:rsidP="00F1519D">
      <w:pPr>
        <w:spacing w:after="0" w:line="240" w:lineRule="auto"/>
        <w:contextualSpacing/>
        <w:jc w:val="center"/>
        <w:rPr>
          <w:rFonts w:ascii="Arial" w:hAnsi="Arial" w:cs="Arial"/>
          <w:b/>
          <w:sz w:val="24"/>
          <w:szCs w:val="26"/>
          <w:lang w:val="es-ES"/>
        </w:rPr>
      </w:pPr>
      <w:r>
        <w:rPr>
          <w:rFonts w:ascii="Arial" w:hAnsi="Arial" w:cs="Arial"/>
          <w:b/>
          <w:sz w:val="24"/>
          <w:szCs w:val="26"/>
          <w:lang w:val="es-ES"/>
        </w:rPr>
        <w:t>LIC. JOSÉ DE JESÚS GRANILLO VÁZQUEZ</w:t>
      </w:r>
    </w:p>
    <w:p w14:paraId="7FF862B3" w14:textId="77777777" w:rsidR="00FB782D" w:rsidRDefault="00FC6DF5" w:rsidP="00F1519D">
      <w:pPr>
        <w:spacing w:after="0" w:line="240" w:lineRule="auto"/>
        <w:contextualSpacing/>
        <w:jc w:val="center"/>
        <w:rPr>
          <w:rFonts w:ascii="Arial" w:hAnsi="Arial" w:cs="Arial"/>
          <w:b/>
          <w:sz w:val="24"/>
          <w:szCs w:val="26"/>
          <w:lang w:val="es-ES"/>
        </w:rPr>
      </w:pPr>
      <w:r>
        <w:rPr>
          <w:rFonts w:ascii="Arial" w:hAnsi="Arial" w:cs="Arial"/>
          <w:b/>
          <w:sz w:val="24"/>
          <w:szCs w:val="26"/>
          <w:lang w:val="es-ES"/>
        </w:rPr>
        <w:t>SECRETARIO DE HACIENDA.</w:t>
      </w:r>
    </w:p>
    <w:p w14:paraId="4A948A87" w14:textId="77777777" w:rsidR="00FB782D" w:rsidRDefault="00FB782D">
      <w:pPr>
        <w:spacing w:after="0" w:line="240" w:lineRule="auto"/>
        <w:rPr>
          <w:rFonts w:ascii="Arial" w:hAnsi="Arial" w:cs="Arial"/>
          <w:b/>
          <w:sz w:val="24"/>
          <w:szCs w:val="26"/>
          <w:lang w:val="es-ES"/>
        </w:rPr>
      </w:pPr>
    </w:p>
    <w:p w14:paraId="27212925" w14:textId="77777777" w:rsidR="00FB782D" w:rsidRDefault="00FC6DF5">
      <w:pPr>
        <w:spacing w:after="0" w:line="240" w:lineRule="auto"/>
        <w:jc w:val="center"/>
        <w:rPr>
          <w:rFonts w:ascii="Arial" w:hAnsi="Arial" w:cs="Arial"/>
          <w:i/>
          <w:sz w:val="14"/>
          <w:szCs w:val="14"/>
          <w:lang w:val="es-ES"/>
        </w:rPr>
      </w:pPr>
      <w:r>
        <w:rPr>
          <w:rFonts w:ascii="Arial" w:hAnsi="Arial" w:cs="Arial"/>
          <w:i/>
          <w:sz w:val="14"/>
          <w:szCs w:val="14"/>
          <w:lang w:val="es-ES"/>
        </w:rPr>
        <w:t>“2024, Año del Bicentenario de la fundación del Estado de Chihuahua”</w:t>
      </w:r>
    </w:p>
    <w:p w14:paraId="6834AD1D" w14:textId="77777777" w:rsidR="00FB782D" w:rsidRDefault="00FB782D">
      <w:pPr>
        <w:spacing w:after="0" w:line="240" w:lineRule="auto"/>
        <w:jc w:val="center"/>
        <w:rPr>
          <w:rFonts w:ascii="Arial" w:hAnsi="Arial" w:cs="Arial"/>
          <w:i/>
          <w:sz w:val="14"/>
          <w:szCs w:val="14"/>
          <w:lang w:val="es-ES"/>
        </w:rPr>
      </w:pPr>
    </w:p>
    <w:p w14:paraId="082B33F3" w14:textId="77777777" w:rsidR="00FB782D" w:rsidRDefault="00FB782D">
      <w:pPr>
        <w:spacing w:after="0" w:line="240" w:lineRule="auto"/>
        <w:jc w:val="center"/>
        <w:rPr>
          <w:rFonts w:ascii="Arial" w:hAnsi="Arial" w:cs="Arial"/>
          <w:b/>
          <w:sz w:val="14"/>
          <w:szCs w:val="14"/>
          <w:lang w:val="es-ES"/>
        </w:rPr>
      </w:pPr>
    </w:p>
    <w:p w14:paraId="0EDE1712" w14:textId="77777777" w:rsidR="00FB782D" w:rsidRDefault="00FC6DF5">
      <w:pPr>
        <w:pStyle w:val="Ttulo3"/>
        <w:tabs>
          <w:tab w:val="left" w:pos="1985"/>
          <w:tab w:val="left" w:pos="2127"/>
          <w:tab w:val="left" w:pos="6521"/>
          <w:tab w:val="left" w:pos="6663"/>
        </w:tabs>
        <w:spacing w:line="240" w:lineRule="auto"/>
        <w:jc w:val="center"/>
        <w:rPr>
          <w:rFonts w:cs="Tahoma"/>
          <w:b w:val="0"/>
          <w:bCs/>
          <w:color w:val="201F1E"/>
          <w:sz w:val="11"/>
          <w:szCs w:val="11"/>
          <w:shd w:val="clear" w:color="auto" w:fill="FFFFFF"/>
        </w:rPr>
      </w:pPr>
      <w:r>
        <w:rPr>
          <w:rFonts w:cs="Tahoma"/>
          <w:b w:val="0"/>
          <w:bCs/>
          <w:color w:val="201F1E"/>
          <w:sz w:val="11"/>
          <w:szCs w:val="11"/>
          <w:shd w:val="clear" w:color="auto" w:fill="FFFFFF"/>
        </w:rPr>
        <w:t>La presente hoja de firmas corresponde a la iniciativa con carácter de Decreto, por el que se reforman diversas disposiciones del diverso LXVI/AUCEP/0746/2020 IX P.E.</w:t>
      </w:r>
      <w:r>
        <w:rPr>
          <w:rFonts w:cs="Tahoma"/>
          <w:b w:val="0"/>
          <w:bCs/>
          <w:color w:val="201F1E"/>
          <w:sz w:val="11"/>
          <w:szCs w:val="11"/>
          <w:shd w:val="clear" w:color="auto" w:fill="FFFFFF"/>
          <w:lang w:val="es-ES"/>
        </w:rPr>
        <w:t>, publicado el 18 de julio de 2020 en el Periódico Oficial del Estado</w:t>
      </w:r>
      <w:r>
        <w:rPr>
          <w:rFonts w:cs="Tahoma"/>
          <w:b w:val="0"/>
          <w:bCs/>
          <w:color w:val="201F1E"/>
          <w:sz w:val="11"/>
          <w:szCs w:val="11"/>
          <w:shd w:val="clear" w:color="auto" w:fill="FFFFFF"/>
        </w:rPr>
        <w:t>.</w:t>
      </w:r>
    </w:p>
    <w:sectPr w:rsidR="00FB782D">
      <w:headerReference w:type="even" r:id="rId8"/>
      <w:headerReference w:type="default" r:id="rId9"/>
      <w:footerReference w:type="even" r:id="rId10"/>
      <w:footerReference w:type="default" r:id="rId11"/>
      <w:headerReference w:type="first" r:id="rId12"/>
      <w:footerReference w:type="first" r:id="rId13"/>
      <w:pgSz w:w="12240" w:h="15840"/>
      <w:pgMar w:top="2694" w:right="1134" w:bottom="1418" w:left="1134" w:header="397" w:footer="73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6D358" w14:textId="77777777" w:rsidR="00BE0B3B" w:rsidRDefault="00BE0B3B">
      <w:pPr>
        <w:spacing w:line="240" w:lineRule="auto"/>
      </w:pPr>
      <w:r>
        <w:separator/>
      </w:r>
    </w:p>
  </w:endnote>
  <w:endnote w:type="continuationSeparator" w:id="0">
    <w:p w14:paraId="30168594" w14:textId="77777777" w:rsidR="00BE0B3B" w:rsidRDefault="00BE0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09D5" w14:textId="77777777" w:rsidR="00FB782D" w:rsidRDefault="00FB782D"/>
  <w:p w14:paraId="296AF04B" w14:textId="77777777" w:rsidR="00FB782D" w:rsidRDefault="00FB78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7CCAD" w14:textId="25D7B65E" w:rsidR="00FB782D" w:rsidRDefault="00FC6DF5">
    <w:pPr>
      <w:tabs>
        <w:tab w:val="center" w:pos="4419"/>
        <w:tab w:val="right" w:pos="8838"/>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852E9A">
      <w:rPr>
        <w:rFonts w:ascii="Arial" w:eastAsia="Arial" w:hAnsi="Arial" w:cs="Arial"/>
        <w:noProof/>
        <w:color w:val="000000"/>
      </w:rPr>
      <w:t>8</w:t>
    </w:r>
    <w:r>
      <w:rPr>
        <w:rFonts w:ascii="Arial" w:eastAsia="Arial" w:hAnsi="Arial" w:cs="Arial"/>
        <w:color w:val="000000"/>
      </w:rPr>
      <w:fldChar w:fldCharType="end"/>
    </w:r>
  </w:p>
  <w:p w14:paraId="5C43C889" w14:textId="77777777" w:rsidR="00FB782D" w:rsidRDefault="00FB782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7227261"/>
    </w:sdtPr>
    <w:sdtContent>
      <w:p w14:paraId="20CF1D39" w14:textId="5D261127" w:rsidR="00FB782D" w:rsidRDefault="00FC6DF5">
        <w:pPr>
          <w:pStyle w:val="Piedepgina"/>
          <w:jc w:val="right"/>
        </w:pPr>
        <w:r>
          <w:fldChar w:fldCharType="begin"/>
        </w:r>
        <w:r>
          <w:instrText>PAGE   \* MERGEFORMAT</w:instrText>
        </w:r>
        <w:r>
          <w:fldChar w:fldCharType="separate"/>
        </w:r>
        <w:r w:rsidR="00852E9A" w:rsidRPr="00852E9A">
          <w:rPr>
            <w:noProof/>
            <w:lang w:val="es-ES"/>
          </w:rPr>
          <w:t>1</w:t>
        </w:r>
        <w:r>
          <w:fldChar w:fldCharType="end"/>
        </w:r>
      </w:p>
    </w:sdtContent>
  </w:sdt>
  <w:p w14:paraId="44A0D246" w14:textId="77777777" w:rsidR="00FB782D" w:rsidRDefault="00FB782D">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4DA59" w14:textId="77777777" w:rsidR="00BE0B3B" w:rsidRDefault="00BE0B3B">
      <w:pPr>
        <w:spacing w:after="0"/>
      </w:pPr>
      <w:r>
        <w:separator/>
      </w:r>
    </w:p>
  </w:footnote>
  <w:footnote w:type="continuationSeparator" w:id="0">
    <w:p w14:paraId="27908E77" w14:textId="77777777" w:rsidR="00BE0B3B" w:rsidRDefault="00BE0B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0584" w14:textId="77777777" w:rsidR="00FB782D" w:rsidRDefault="00FB782D"/>
  <w:p w14:paraId="1EBC6096" w14:textId="77777777" w:rsidR="00FB782D" w:rsidRDefault="00FB78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AFAEA" w14:textId="4578DD48" w:rsidR="00852E9A" w:rsidRDefault="00852E9A">
    <w:pPr>
      <w:pStyle w:val="Encabezado"/>
    </w:pPr>
  </w:p>
  <w:p w14:paraId="48CDD9F7" w14:textId="4407A83F" w:rsidR="00852E9A" w:rsidRDefault="00852E9A">
    <w:pPr>
      <w:pStyle w:val="Encabezado"/>
    </w:pPr>
  </w:p>
  <w:p w14:paraId="74CE4323" w14:textId="0EB50CAC" w:rsidR="00852E9A" w:rsidRDefault="00852E9A">
    <w:pPr>
      <w:pStyle w:val="Encabezado"/>
    </w:pPr>
  </w:p>
  <w:p w14:paraId="52B3CEC4" w14:textId="583E4579" w:rsidR="00852E9A" w:rsidRDefault="00852E9A">
    <w:pPr>
      <w:pStyle w:val="Encabezado"/>
    </w:pPr>
  </w:p>
  <w:p w14:paraId="67FC0A8C" w14:textId="06C6891E" w:rsidR="00852E9A" w:rsidRDefault="00852E9A">
    <w:pPr>
      <w:pStyle w:val="Encabezado"/>
    </w:pPr>
  </w:p>
  <w:p w14:paraId="0986EDB6" w14:textId="40C61426" w:rsidR="00852E9A" w:rsidRDefault="00852E9A">
    <w:pPr>
      <w:pStyle w:val="Encabezado"/>
    </w:pPr>
  </w:p>
  <w:p w14:paraId="09FFCB74" w14:textId="2656536E" w:rsidR="00852E9A" w:rsidRDefault="00852E9A">
    <w:pPr>
      <w:pStyle w:val="Encabezado"/>
    </w:pPr>
  </w:p>
  <w:p w14:paraId="58CB7B13" w14:textId="32BE4DF4" w:rsidR="00852E9A" w:rsidRDefault="00852E9A">
    <w:pPr>
      <w:pStyle w:val="Encabezado"/>
    </w:pPr>
  </w:p>
  <w:p w14:paraId="49C145A8" w14:textId="77777777" w:rsidR="00852E9A" w:rsidRDefault="00852E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7E23F" w14:textId="1D44D4A1" w:rsidR="00852E9A" w:rsidRDefault="00852E9A">
    <w:pPr>
      <w:pStyle w:val="Encabezado"/>
    </w:pPr>
  </w:p>
  <w:p w14:paraId="749DDD6E" w14:textId="50561A89" w:rsidR="00852E9A" w:rsidRDefault="00852E9A">
    <w:pPr>
      <w:pStyle w:val="Encabezado"/>
    </w:pPr>
  </w:p>
  <w:p w14:paraId="1244E1B3" w14:textId="77777777" w:rsidR="00852E9A" w:rsidRDefault="00852E9A">
    <w:pPr>
      <w:pStyle w:val="Encabezado"/>
    </w:pPr>
  </w:p>
  <w:p w14:paraId="7B0F9789" w14:textId="77FC204F" w:rsidR="00852E9A" w:rsidRDefault="00852E9A">
    <w:pPr>
      <w:pStyle w:val="Encabezado"/>
    </w:pPr>
  </w:p>
  <w:p w14:paraId="1E706572" w14:textId="6C88031F" w:rsidR="00852E9A" w:rsidRDefault="00852E9A">
    <w:pPr>
      <w:pStyle w:val="Encabezado"/>
    </w:pPr>
  </w:p>
  <w:p w14:paraId="38ECA16A" w14:textId="40DB21DF" w:rsidR="00852E9A" w:rsidRDefault="00852E9A">
    <w:pPr>
      <w:pStyle w:val="Encabezado"/>
    </w:pPr>
  </w:p>
  <w:p w14:paraId="31AF3D0E" w14:textId="3644DA75" w:rsidR="00852E9A" w:rsidRDefault="00852E9A">
    <w:pPr>
      <w:pStyle w:val="Encabezado"/>
    </w:pPr>
  </w:p>
  <w:p w14:paraId="0A7D9D1D" w14:textId="1D574D4C" w:rsidR="00852E9A" w:rsidRDefault="00852E9A">
    <w:pPr>
      <w:pStyle w:val="Encabezado"/>
    </w:pPr>
  </w:p>
  <w:p w14:paraId="393D0D2A" w14:textId="3CBAF5E9" w:rsidR="00852E9A" w:rsidRDefault="00852E9A">
    <w:pPr>
      <w:pStyle w:val="Encabezado"/>
    </w:pPr>
  </w:p>
  <w:p w14:paraId="6B78ADCE" w14:textId="21C64B59" w:rsidR="00852E9A" w:rsidRDefault="00852E9A">
    <w:pPr>
      <w:pStyle w:val="Encabezado"/>
    </w:pPr>
  </w:p>
  <w:p w14:paraId="4F456B80" w14:textId="5CCD80C7" w:rsidR="00852E9A" w:rsidRDefault="00852E9A">
    <w:pPr>
      <w:pStyle w:val="Encabezado"/>
    </w:pPr>
  </w:p>
  <w:p w14:paraId="52D2417C" w14:textId="77777777" w:rsidR="00852E9A" w:rsidRDefault="00852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34727"/>
    <w:multiLevelType w:val="multilevel"/>
    <w:tmpl w:val="0F334727"/>
    <w:lvl w:ilvl="0">
      <w:start w:val="1"/>
      <w:numFmt w:val="upperRoman"/>
      <w:lvlText w:val="%1."/>
      <w:lvlJc w:val="left"/>
      <w:pPr>
        <w:ind w:left="1425" w:hanging="720"/>
      </w:pPr>
      <w:rPr>
        <w:rFonts w:hint="default"/>
        <w:b w:val="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20B85804"/>
    <w:multiLevelType w:val="multilevel"/>
    <w:tmpl w:val="20B85804"/>
    <w:lvl w:ilvl="0">
      <w:start w:val="1"/>
      <w:numFmt w:val="upperRoman"/>
      <w:lvlText w:val="%1."/>
      <w:lvlJc w:val="left"/>
      <w:pPr>
        <w:ind w:left="1425" w:hanging="72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3D3015B1"/>
    <w:multiLevelType w:val="multilevel"/>
    <w:tmpl w:val="3D3015B1"/>
    <w:lvl w:ilvl="0">
      <w:start w:val="4"/>
      <w:numFmt w:val="upperRoman"/>
      <w:lvlText w:val="%1."/>
      <w:lvlJc w:val="left"/>
      <w:pPr>
        <w:ind w:left="1425" w:hanging="720"/>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178199618">
    <w:abstractNumId w:val="0"/>
  </w:num>
  <w:num w:numId="2" w16cid:durableId="59210494">
    <w:abstractNumId w:val="2"/>
  </w:num>
  <w:num w:numId="3" w16cid:durableId="171384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F9"/>
    <w:rsid w:val="0000539B"/>
    <w:rsid w:val="00007492"/>
    <w:rsid w:val="00022F20"/>
    <w:rsid w:val="00024B52"/>
    <w:rsid w:val="00025D31"/>
    <w:rsid w:val="00026E9D"/>
    <w:rsid w:val="00034FEC"/>
    <w:rsid w:val="000352C5"/>
    <w:rsid w:val="00043558"/>
    <w:rsid w:val="00047B17"/>
    <w:rsid w:val="00050007"/>
    <w:rsid w:val="000505AE"/>
    <w:rsid w:val="00051544"/>
    <w:rsid w:val="000626ED"/>
    <w:rsid w:val="0006751B"/>
    <w:rsid w:val="0007338B"/>
    <w:rsid w:val="000743B4"/>
    <w:rsid w:val="00082F81"/>
    <w:rsid w:val="0008408D"/>
    <w:rsid w:val="00087107"/>
    <w:rsid w:val="00090924"/>
    <w:rsid w:val="000A0657"/>
    <w:rsid w:val="000A1489"/>
    <w:rsid w:val="000B42F6"/>
    <w:rsid w:val="000C5640"/>
    <w:rsid w:val="000C7154"/>
    <w:rsid w:val="000D0B83"/>
    <w:rsid w:val="000D260D"/>
    <w:rsid w:val="000D2E8E"/>
    <w:rsid w:val="000D63E3"/>
    <w:rsid w:val="000E4D98"/>
    <w:rsid w:val="000E512C"/>
    <w:rsid w:val="000E60A2"/>
    <w:rsid w:val="000F03CB"/>
    <w:rsid w:val="000F29AA"/>
    <w:rsid w:val="000F48E8"/>
    <w:rsid w:val="000F5B69"/>
    <w:rsid w:val="00105C6A"/>
    <w:rsid w:val="00106416"/>
    <w:rsid w:val="0010705D"/>
    <w:rsid w:val="001159CF"/>
    <w:rsid w:val="00117632"/>
    <w:rsid w:val="0012493F"/>
    <w:rsid w:val="0012505C"/>
    <w:rsid w:val="00126467"/>
    <w:rsid w:val="00137161"/>
    <w:rsid w:val="0014117C"/>
    <w:rsid w:val="00143398"/>
    <w:rsid w:val="00145FED"/>
    <w:rsid w:val="00152123"/>
    <w:rsid w:val="001554FD"/>
    <w:rsid w:val="00163AE2"/>
    <w:rsid w:val="00164418"/>
    <w:rsid w:val="00165A71"/>
    <w:rsid w:val="00165C35"/>
    <w:rsid w:val="00165DEF"/>
    <w:rsid w:val="00171004"/>
    <w:rsid w:val="00173CD2"/>
    <w:rsid w:val="00173ED4"/>
    <w:rsid w:val="00174D36"/>
    <w:rsid w:val="00175CAC"/>
    <w:rsid w:val="0018149A"/>
    <w:rsid w:val="0018338F"/>
    <w:rsid w:val="00183A15"/>
    <w:rsid w:val="00186059"/>
    <w:rsid w:val="00187D86"/>
    <w:rsid w:val="001974B0"/>
    <w:rsid w:val="001A3382"/>
    <w:rsid w:val="001A4E22"/>
    <w:rsid w:val="001B6206"/>
    <w:rsid w:val="001C1D12"/>
    <w:rsid w:val="001C2C30"/>
    <w:rsid w:val="001D1CFD"/>
    <w:rsid w:val="001E5C98"/>
    <w:rsid w:val="001F4490"/>
    <w:rsid w:val="00202A78"/>
    <w:rsid w:val="00204738"/>
    <w:rsid w:val="00205AA3"/>
    <w:rsid w:val="0020655F"/>
    <w:rsid w:val="002119DD"/>
    <w:rsid w:val="00212EE6"/>
    <w:rsid w:val="0021509F"/>
    <w:rsid w:val="00221A98"/>
    <w:rsid w:val="00223806"/>
    <w:rsid w:val="00232FE6"/>
    <w:rsid w:val="00236025"/>
    <w:rsid w:val="002434B7"/>
    <w:rsid w:val="0024582D"/>
    <w:rsid w:val="00251E20"/>
    <w:rsid w:val="0026124C"/>
    <w:rsid w:val="00261C41"/>
    <w:rsid w:val="00262703"/>
    <w:rsid w:val="00270258"/>
    <w:rsid w:val="00271C79"/>
    <w:rsid w:val="00275603"/>
    <w:rsid w:val="00280115"/>
    <w:rsid w:val="00280F68"/>
    <w:rsid w:val="0028243D"/>
    <w:rsid w:val="0028446F"/>
    <w:rsid w:val="002A4A25"/>
    <w:rsid w:val="002A734E"/>
    <w:rsid w:val="002B3E7A"/>
    <w:rsid w:val="002B781C"/>
    <w:rsid w:val="002C0AA4"/>
    <w:rsid w:val="002C4B46"/>
    <w:rsid w:val="002C5E80"/>
    <w:rsid w:val="002D07A4"/>
    <w:rsid w:val="002D1436"/>
    <w:rsid w:val="002D2BE3"/>
    <w:rsid w:val="002E1CF2"/>
    <w:rsid w:val="002E5C9F"/>
    <w:rsid w:val="002F75D8"/>
    <w:rsid w:val="00306678"/>
    <w:rsid w:val="003071BD"/>
    <w:rsid w:val="00311ADB"/>
    <w:rsid w:val="00317B0E"/>
    <w:rsid w:val="00322747"/>
    <w:rsid w:val="00361FB3"/>
    <w:rsid w:val="00366DB6"/>
    <w:rsid w:val="00377368"/>
    <w:rsid w:val="003803E3"/>
    <w:rsid w:val="003833F2"/>
    <w:rsid w:val="00387D74"/>
    <w:rsid w:val="00391D44"/>
    <w:rsid w:val="003A5B75"/>
    <w:rsid w:val="003B2289"/>
    <w:rsid w:val="003B52C9"/>
    <w:rsid w:val="003D08DF"/>
    <w:rsid w:val="003D45D5"/>
    <w:rsid w:val="003E1B0D"/>
    <w:rsid w:val="003F2456"/>
    <w:rsid w:val="003F452C"/>
    <w:rsid w:val="004073C7"/>
    <w:rsid w:val="004113A1"/>
    <w:rsid w:val="00432D2E"/>
    <w:rsid w:val="004341FD"/>
    <w:rsid w:val="00434B7C"/>
    <w:rsid w:val="00441589"/>
    <w:rsid w:val="0044522D"/>
    <w:rsid w:val="00447541"/>
    <w:rsid w:val="00454C90"/>
    <w:rsid w:val="0045639D"/>
    <w:rsid w:val="004605A1"/>
    <w:rsid w:val="0046068D"/>
    <w:rsid w:val="0047406D"/>
    <w:rsid w:val="00491C76"/>
    <w:rsid w:val="00494EC7"/>
    <w:rsid w:val="004B27DE"/>
    <w:rsid w:val="004B3081"/>
    <w:rsid w:val="004B3847"/>
    <w:rsid w:val="004C1D9A"/>
    <w:rsid w:val="004D34C1"/>
    <w:rsid w:val="004D56EE"/>
    <w:rsid w:val="004D775C"/>
    <w:rsid w:val="004F65CE"/>
    <w:rsid w:val="004F75F5"/>
    <w:rsid w:val="005138AC"/>
    <w:rsid w:val="00517807"/>
    <w:rsid w:val="00532E30"/>
    <w:rsid w:val="005354C4"/>
    <w:rsid w:val="00535FF6"/>
    <w:rsid w:val="00541C75"/>
    <w:rsid w:val="00547294"/>
    <w:rsid w:val="0056002B"/>
    <w:rsid w:val="00560951"/>
    <w:rsid w:val="00560F8F"/>
    <w:rsid w:val="00572477"/>
    <w:rsid w:val="00574925"/>
    <w:rsid w:val="005808A3"/>
    <w:rsid w:val="0058684D"/>
    <w:rsid w:val="005910E4"/>
    <w:rsid w:val="0059757C"/>
    <w:rsid w:val="005A00B2"/>
    <w:rsid w:val="005A1D4A"/>
    <w:rsid w:val="005A3A3B"/>
    <w:rsid w:val="005A6CA1"/>
    <w:rsid w:val="005B6AFA"/>
    <w:rsid w:val="005B7884"/>
    <w:rsid w:val="005C72B1"/>
    <w:rsid w:val="005C7AE0"/>
    <w:rsid w:val="005E2716"/>
    <w:rsid w:val="005E3AE4"/>
    <w:rsid w:val="005E49C1"/>
    <w:rsid w:val="005E568B"/>
    <w:rsid w:val="005E76FF"/>
    <w:rsid w:val="0060580B"/>
    <w:rsid w:val="00610AC5"/>
    <w:rsid w:val="006166C5"/>
    <w:rsid w:val="0062042E"/>
    <w:rsid w:val="00623573"/>
    <w:rsid w:val="00625B02"/>
    <w:rsid w:val="006302EE"/>
    <w:rsid w:val="0063267A"/>
    <w:rsid w:val="00635507"/>
    <w:rsid w:val="00637E80"/>
    <w:rsid w:val="006413DF"/>
    <w:rsid w:val="00641E5D"/>
    <w:rsid w:val="0064300E"/>
    <w:rsid w:val="006445D8"/>
    <w:rsid w:val="006532E7"/>
    <w:rsid w:val="00661CBE"/>
    <w:rsid w:val="00661E3E"/>
    <w:rsid w:val="00666552"/>
    <w:rsid w:val="0068244B"/>
    <w:rsid w:val="006868CD"/>
    <w:rsid w:val="006901EE"/>
    <w:rsid w:val="0069770B"/>
    <w:rsid w:val="006A1038"/>
    <w:rsid w:val="006A68F3"/>
    <w:rsid w:val="006A7ACC"/>
    <w:rsid w:val="006B339F"/>
    <w:rsid w:val="006B4219"/>
    <w:rsid w:val="006D4FC0"/>
    <w:rsid w:val="006E693B"/>
    <w:rsid w:val="006E6A1C"/>
    <w:rsid w:val="007054C8"/>
    <w:rsid w:val="007104E3"/>
    <w:rsid w:val="00710E34"/>
    <w:rsid w:val="007133C4"/>
    <w:rsid w:val="0071562A"/>
    <w:rsid w:val="00720639"/>
    <w:rsid w:val="00733712"/>
    <w:rsid w:val="007369C4"/>
    <w:rsid w:val="00747038"/>
    <w:rsid w:val="00750074"/>
    <w:rsid w:val="00750BF4"/>
    <w:rsid w:val="007514B8"/>
    <w:rsid w:val="00751A3B"/>
    <w:rsid w:val="00753011"/>
    <w:rsid w:val="00756F0C"/>
    <w:rsid w:val="00761C01"/>
    <w:rsid w:val="00764B5A"/>
    <w:rsid w:val="0076620B"/>
    <w:rsid w:val="00775699"/>
    <w:rsid w:val="00776F13"/>
    <w:rsid w:val="007913A6"/>
    <w:rsid w:val="007A3E49"/>
    <w:rsid w:val="007B672B"/>
    <w:rsid w:val="007C2281"/>
    <w:rsid w:val="007C4F07"/>
    <w:rsid w:val="007D0D86"/>
    <w:rsid w:val="007D2BF1"/>
    <w:rsid w:val="007D3E29"/>
    <w:rsid w:val="008022A8"/>
    <w:rsid w:val="00805AC4"/>
    <w:rsid w:val="00822395"/>
    <w:rsid w:val="0082281F"/>
    <w:rsid w:val="00823B1C"/>
    <w:rsid w:val="00827A59"/>
    <w:rsid w:val="0083784F"/>
    <w:rsid w:val="008414A3"/>
    <w:rsid w:val="00845A70"/>
    <w:rsid w:val="00846452"/>
    <w:rsid w:val="00851744"/>
    <w:rsid w:val="00852E9A"/>
    <w:rsid w:val="00862531"/>
    <w:rsid w:val="00866171"/>
    <w:rsid w:val="008671B8"/>
    <w:rsid w:val="00867CCC"/>
    <w:rsid w:val="00871E2B"/>
    <w:rsid w:val="00875DB0"/>
    <w:rsid w:val="00880D94"/>
    <w:rsid w:val="00883970"/>
    <w:rsid w:val="00885900"/>
    <w:rsid w:val="00894AD0"/>
    <w:rsid w:val="008B3DD4"/>
    <w:rsid w:val="008B5C8E"/>
    <w:rsid w:val="008C1BB3"/>
    <w:rsid w:val="008C757D"/>
    <w:rsid w:val="008D5CCB"/>
    <w:rsid w:val="008F1F29"/>
    <w:rsid w:val="008F6BFD"/>
    <w:rsid w:val="00905883"/>
    <w:rsid w:val="00914A25"/>
    <w:rsid w:val="00916589"/>
    <w:rsid w:val="00927655"/>
    <w:rsid w:val="00931C04"/>
    <w:rsid w:val="00941C5F"/>
    <w:rsid w:val="0094296D"/>
    <w:rsid w:val="00947B49"/>
    <w:rsid w:val="00952CCD"/>
    <w:rsid w:val="009533DC"/>
    <w:rsid w:val="00955424"/>
    <w:rsid w:val="0097616A"/>
    <w:rsid w:val="009825FD"/>
    <w:rsid w:val="00992D47"/>
    <w:rsid w:val="00994417"/>
    <w:rsid w:val="009949E1"/>
    <w:rsid w:val="00995144"/>
    <w:rsid w:val="00997F46"/>
    <w:rsid w:val="009A2359"/>
    <w:rsid w:val="009A2962"/>
    <w:rsid w:val="009A5771"/>
    <w:rsid w:val="009A6ECD"/>
    <w:rsid w:val="009B3726"/>
    <w:rsid w:val="009B5223"/>
    <w:rsid w:val="009C4791"/>
    <w:rsid w:val="009C4C15"/>
    <w:rsid w:val="009D32EA"/>
    <w:rsid w:val="009D567A"/>
    <w:rsid w:val="009F3020"/>
    <w:rsid w:val="009F6EBB"/>
    <w:rsid w:val="00A13E56"/>
    <w:rsid w:val="00A213FE"/>
    <w:rsid w:val="00A21868"/>
    <w:rsid w:val="00A24DA1"/>
    <w:rsid w:val="00A377A2"/>
    <w:rsid w:val="00A41551"/>
    <w:rsid w:val="00A45C5D"/>
    <w:rsid w:val="00A46D34"/>
    <w:rsid w:val="00A51AEA"/>
    <w:rsid w:val="00A51B69"/>
    <w:rsid w:val="00A523AA"/>
    <w:rsid w:val="00A606AF"/>
    <w:rsid w:val="00A62C9E"/>
    <w:rsid w:val="00A6337D"/>
    <w:rsid w:val="00A65768"/>
    <w:rsid w:val="00A65EC3"/>
    <w:rsid w:val="00A72F36"/>
    <w:rsid w:val="00A77BF4"/>
    <w:rsid w:val="00A80629"/>
    <w:rsid w:val="00A80D88"/>
    <w:rsid w:val="00A87227"/>
    <w:rsid w:val="00A87D93"/>
    <w:rsid w:val="00A9061E"/>
    <w:rsid w:val="00A91E81"/>
    <w:rsid w:val="00A94441"/>
    <w:rsid w:val="00A96CED"/>
    <w:rsid w:val="00A97061"/>
    <w:rsid w:val="00AA29F4"/>
    <w:rsid w:val="00AA405B"/>
    <w:rsid w:val="00AB10F1"/>
    <w:rsid w:val="00AB27B3"/>
    <w:rsid w:val="00AC17E5"/>
    <w:rsid w:val="00AD0BE1"/>
    <w:rsid w:val="00AD125E"/>
    <w:rsid w:val="00AD578D"/>
    <w:rsid w:val="00AE4495"/>
    <w:rsid w:val="00AE4D8F"/>
    <w:rsid w:val="00AE6CBE"/>
    <w:rsid w:val="00AE7EBC"/>
    <w:rsid w:val="00B04D19"/>
    <w:rsid w:val="00B0577B"/>
    <w:rsid w:val="00B11100"/>
    <w:rsid w:val="00B23F13"/>
    <w:rsid w:val="00B2679C"/>
    <w:rsid w:val="00B3382A"/>
    <w:rsid w:val="00B359A3"/>
    <w:rsid w:val="00B3656A"/>
    <w:rsid w:val="00B4536B"/>
    <w:rsid w:val="00B50C6A"/>
    <w:rsid w:val="00B6663E"/>
    <w:rsid w:val="00B729D5"/>
    <w:rsid w:val="00B7449D"/>
    <w:rsid w:val="00B77085"/>
    <w:rsid w:val="00B832F1"/>
    <w:rsid w:val="00B836BF"/>
    <w:rsid w:val="00B84AE7"/>
    <w:rsid w:val="00B9626E"/>
    <w:rsid w:val="00B97BEB"/>
    <w:rsid w:val="00BB0072"/>
    <w:rsid w:val="00BB412E"/>
    <w:rsid w:val="00BB4659"/>
    <w:rsid w:val="00BC0EB7"/>
    <w:rsid w:val="00BC4684"/>
    <w:rsid w:val="00BC6F84"/>
    <w:rsid w:val="00BD3259"/>
    <w:rsid w:val="00BD3C53"/>
    <w:rsid w:val="00BE0B3B"/>
    <w:rsid w:val="00BE203C"/>
    <w:rsid w:val="00BE65F3"/>
    <w:rsid w:val="00C133A5"/>
    <w:rsid w:val="00C252A3"/>
    <w:rsid w:val="00C27720"/>
    <w:rsid w:val="00C327C6"/>
    <w:rsid w:val="00C33633"/>
    <w:rsid w:val="00C349E6"/>
    <w:rsid w:val="00C47574"/>
    <w:rsid w:val="00C47A78"/>
    <w:rsid w:val="00C5274F"/>
    <w:rsid w:val="00C55AD0"/>
    <w:rsid w:val="00C6037D"/>
    <w:rsid w:val="00C70735"/>
    <w:rsid w:val="00C7528E"/>
    <w:rsid w:val="00C777C3"/>
    <w:rsid w:val="00C77DD5"/>
    <w:rsid w:val="00C83920"/>
    <w:rsid w:val="00C87148"/>
    <w:rsid w:val="00C919EE"/>
    <w:rsid w:val="00C94A84"/>
    <w:rsid w:val="00C977B4"/>
    <w:rsid w:val="00CC68D4"/>
    <w:rsid w:val="00CC6F41"/>
    <w:rsid w:val="00CD598D"/>
    <w:rsid w:val="00CE1B34"/>
    <w:rsid w:val="00D10FB3"/>
    <w:rsid w:val="00D3055C"/>
    <w:rsid w:val="00D43746"/>
    <w:rsid w:val="00D47E21"/>
    <w:rsid w:val="00D60BF9"/>
    <w:rsid w:val="00D64B0C"/>
    <w:rsid w:val="00D81B94"/>
    <w:rsid w:val="00D81C92"/>
    <w:rsid w:val="00D93C63"/>
    <w:rsid w:val="00D94A3C"/>
    <w:rsid w:val="00DA2AF7"/>
    <w:rsid w:val="00DB2419"/>
    <w:rsid w:val="00DC3B2B"/>
    <w:rsid w:val="00DC740F"/>
    <w:rsid w:val="00DC7F7F"/>
    <w:rsid w:val="00DD194D"/>
    <w:rsid w:val="00DD25F6"/>
    <w:rsid w:val="00DD2981"/>
    <w:rsid w:val="00DD3318"/>
    <w:rsid w:val="00DE10FC"/>
    <w:rsid w:val="00DE7313"/>
    <w:rsid w:val="00DE7F85"/>
    <w:rsid w:val="00DF0696"/>
    <w:rsid w:val="00DF070F"/>
    <w:rsid w:val="00DF1992"/>
    <w:rsid w:val="00E057F0"/>
    <w:rsid w:val="00E062CB"/>
    <w:rsid w:val="00E111B4"/>
    <w:rsid w:val="00E24079"/>
    <w:rsid w:val="00E27799"/>
    <w:rsid w:val="00E345E8"/>
    <w:rsid w:val="00E35119"/>
    <w:rsid w:val="00E444D7"/>
    <w:rsid w:val="00E4788B"/>
    <w:rsid w:val="00E50CFB"/>
    <w:rsid w:val="00E524C7"/>
    <w:rsid w:val="00E5735E"/>
    <w:rsid w:val="00E57493"/>
    <w:rsid w:val="00E64FEB"/>
    <w:rsid w:val="00E655DD"/>
    <w:rsid w:val="00E73E1A"/>
    <w:rsid w:val="00E76386"/>
    <w:rsid w:val="00E808BC"/>
    <w:rsid w:val="00E80DDD"/>
    <w:rsid w:val="00E81E37"/>
    <w:rsid w:val="00E905C8"/>
    <w:rsid w:val="00EB33A6"/>
    <w:rsid w:val="00EB4F24"/>
    <w:rsid w:val="00EB638B"/>
    <w:rsid w:val="00EC10CD"/>
    <w:rsid w:val="00EE2D6A"/>
    <w:rsid w:val="00EF00D3"/>
    <w:rsid w:val="00EF08F9"/>
    <w:rsid w:val="00EF688D"/>
    <w:rsid w:val="00F11F55"/>
    <w:rsid w:val="00F1519D"/>
    <w:rsid w:val="00F16ADE"/>
    <w:rsid w:val="00F17661"/>
    <w:rsid w:val="00F17BCB"/>
    <w:rsid w:val="00F26AD3"/>
    <w:rsid w:val="00F322FF"/>
    <w:rsid w:val="00F34B7C"/>
    <w:rsid w:val="00F51966"/>
    <w:rsid w:val="00F742FA"/>
    <w:rsid w:val="00F74DD6"/>
    <w:rsid w:val="00F765D2"/>
    <w:rsid w:val="00F813D2"/>
    <w:rsid w:val="00F84EDE"/>
    <w:rsid w:val="00F87BD1"/>
    <w:rsid w:val="00F9591C"/>
    <w:rsid w:val="00F9749A"/>
    <w:rsid w:val="00FA6871"/>
    <w:rsid w:val="00FA79A8"/>
    <w:rsid w:val="00FB782D"/>
    <w:rsid w:val="00FC0B03"/>
    <w:rsid w:val="00FC6521"/>
    <w:rsid w:val="00FC6DF5"/>
    <w:rsid w:val="00FD1B16"/>
    <w:rsid w:val="00FD38B4"/>
    <w:rsid w:val="00FD58EE"/>
    <w:rsid w:val="00FE1319"/>
    <w:rsid w:val="00FF4135"/>
    <w:rsid w:val="172E0377"/>
    <w:rsid w:val="224B0C4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F878"/>
  <w15:docId w15:val="{C03593F6-7B7C-4F58-98E7-EA5B5B85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qFormat/>
    <w:pPr>
      <w:keepNext/>
      <w:spacing w:after="0" w:line="480" w:lineRule="auto"/>
      <w:jc w:val="both"/>
      <w:outlineLvl w:val="2"/>
    </w:pPr>
    <w:rPr>
      <w:rFonts w:ascii="Tahoma" w:eastAsia="Times New Roman" w:hAnsi="Tahoma" w:cs="Times New Roman"/>
      <w:b/>
      <w:sz w:val="24"/>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Piedepgina">
    <w:name w:val="footer"/>
    <w:basedOn w:val="Normal"/>
    <w:link w:val="PiedepginaCar"/>
    <w:uiPriority w:val="99"/>
    <w:semiHidden/>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customStyle="1" w:styleId="Revisin1">
    <w:name w:val="Revisión1"/>
    <w:hidden/>
    <w:uiPriority w:val="99"/>
    <w:semiHidden/>
    <w:rPr>
      <w:sz w:val="22"/>
      <w:szCs w:val="22"/>
      <w:lang w:eastAsia="en-US"/>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Ttulo3Car">
    <w:name w:val="Título 3 Car"/>
    <w:basedOn w:val="Fuentedeprrafopredeter"/>
    <w:link w:val="Ttulo3"/>
    <w:rPr>
      <w:rFonts w:ascii="Tahoma" w:eastAsia="Times New Roman" w:hAnsi="Tahoma" w:cs="Times New Roman"/>
      <w:b/>
      <w:sz w:val="24"/>
      <w:szCs w:val="20"/>
      <w:lang w:eastAsia="es-MX"/>
    </w:r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DB56-3EAB-4E96-ABB0-18A12E90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1544</Words>
  <Characters>8492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particular gobierno chihuahua</dc:creator>
  <cp:lastModifiedBy>congreso chihuahua</cp:lastModifiedBy>
  <cp:revision>2</cp:revision>
  <cp:lastPrinted>2024-07-24T18:31:00Z</cp:lastPrinted>
  <dcterms:created xsi:type="dcterms:W3CDTF">2024-11-04T19:50:00Z</dcterms:created>
  <dcterms:modified xsi:type="dcterms:W3CDTF">2024-11-04T19:50:00Z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483C448C2DD34647B6AC91AB52669708_13</vt:lpwstr>
  </property>
</Properties>
</file>