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917F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H. CONGRESO DEL ESTADO DE CHIHUAHUA</w:t>
      </w:r>
    </w:p>
    <w:p w14:paraId="79AA8874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</w:t>
      </w:r>
    </w:p>
    <w:p w14:paraId="1E41C9BF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PRESENTE. –</w:t>
      </w:r>
    </w:p>
    <w:p w14:paraId="5CE564C0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</w:p>
    <w:p w14:paraId="6756F4B6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Quienes suscribimos,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Jael Argüelles Díaz, Edin Cuauhtémoc Estrada Sotelo, Leticia Ortega Máynez, Benjamín Carrera Chávez, David Óscar Castrejón Rivas, Gustavo de la Rosa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Hickerson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, Ilse América García Soto, Magdalena Rentería Pérez, María Antonieta Pérez Reyes, Óscar Daniel Av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itia Arellanes y Rosana Díaz Reyes,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en nuestro carácter de Diputadas y Diputados de la Sexagésima Séptima Legislatura e integrantes del Grupo Parlamentario del Partido MORENA, con fundamento en los artículos 64 fracción segunda y 68 fracción primera de la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Constitución  Política del Estado de Chihuahua: 167 fracción primera y 168 de la Ley Orgánica del Poder Legislativo; así como los artículos 75 y 76 del Reglamento Interior y de Prácticas Parlamentarias del Poder Legislativo, acudimos ante esta Honorable As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amblea a presentar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iniciativa con carácter de Decreto a fin de </w:t>
      </w:r>
      <w:r>
        <w:rPr>
          <w:rFonts w:ascii="Montserrat" w:eastAsia="Montserrat" w:hAnsi="Montserrat" w:cs="Montserrat"/>
          <w:b/>
          <w:sz w:val="24"/>
          <w:szCs w:val="24"/>
        </w:rPr>
        <w:t>promover y garantizar el climaterio y la menopausia digna,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lo anterior al tenor de la presente:</w:t>
      </w:r>
    </w:p>
    <w:p w14:paraId="0DF6D797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</w:p>
    <w:p w14:paraId="51B97DCB" w14:textId="77777777" w:rsidR="00153AA4" w:rsidRDefault="00777B8B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EXPOSICIÓN DE MOTIVOS</w:t>
      </w:r>
    </w:p>
    <w:p w14:paraId="541BA897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Demos pasos para que se hable de la menopausia en la esfera pública. El estigma social y el desconocimiento mantiene en secrecía el fin de la menstruación, un proceso por el que pasa la mitad de la población.</w:t>
      </w:r>
    </w:p>
    <w:p w14:paraId="441F8C8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menopausia ha sido ignorada y ocultada duran</w:t>
      </w:r>
      <w:r>
        <w:rPr>
          <w:rFonts w:ascii="Montserrat" w:eastAsia="Montserrat" w:hAnsi="Montserrat" w:cs="Montserrat"/>
          <w:sz w:val="24"/>
          <w:szCs w:val="24"/>
        </w:rPr>
        <w:t>te demasiado tiempo No hay nada de vergonzoso en la salud de las mujeres ni en el hecho de envejecer. Apoyar a quienes experimentan la menopausia es necesario para las personas, la economía y la sociedad.</w:t>
      </w:r>
    </w:p>
    <w:p w14:paraId="095E4766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Según datos de la Organización Mundial de la Salud </w:t>
      </w:r>
      <w:r>
        <w:rPr>
          <w:rFonts w:ascii="Montserrat" w:eastAsia="Montserrat" w:hAnsi="Montserrat" w:cs="Montserrat"/>
          <w:sz w:val="24"/>
          <w:szCs w:val="24"/>
        </w:rPr>
        <w:t xml:space="preserve">(OMS), la mayoría de las mujeres no dispone de la información suficiente para transitar a esta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nueva etapa de forma saludable y positiva. De hecho, socialmente, la menopausia y el climaterio se mantienen como tabú: no se habla de ello en público, con nuest</w:t>
      </w:r>
      <w:r>
        <w:rPr>
          <w:rFonts w:ascii="Montserrat" w:eastAsia="Montserrat" w:hAnsi="Montserrat" w:cs="Montserrat"/>
          <w:sz w:val="24"/>
          <w:szCs w:val="24"/>
        </w:rPr>
        <w:t>ra pareja, amigos o familiares y, en ocasiones, ni siquiera con los profesionales de la salud</w:t>
      </w:r>
      <w:r>
        <w:rPr>
          <w:rFonts w:ascii="Montserrat" w:eastAsia="Montserrat" w:hAnsi="Montserrat" w:cs="Montserrat"/>
          <w:vertAlign w:val="superscript"/>
        </w:rPr>
        <w:footnoteReference w:id="1"/>
      </w:r>
      <w:r>
        <w:rPr>
          <w:rFonts w:ascii="Montserrat" w:eastAsia="Montserrat" w:hAnsi="Montserrat" w:cs="Montserrat"/>
          <w:sz w:val="24"/>
          <w:szCs w:val="24"/>
        </w:rPr>
        <w:t>. A veces, por miedo o estigma, las mujeres no comentan nada, aunque lo pasen mal con los sofocos o los cambios de humor.</w:t>
      </w:r>
    </w:p>
    <w:p w14:paraId="00E5C450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51% de la población experimentará la</w:t>
      </w:r>
      <w:r>
        <w:rPr>
          <w:rFonts w:ascii="Montserrat" w:eastAsia="Montserrat" w:hAnsi="Montserrat" w:cs="Montserrat"/>
          <w:sz w:val="24"/>
          <w:szCs w:val="24"/>
        </w:rPr>
        <w:t xml:space="preserve"> menopausia. Es una parte normal, natural e inevitable del envejecimiento. Sin embargo, durante demasiado tiempo, demasiadas personas que experimentan la menopausia han luchado contra el estigma social, diagnósticos y tratamientos inadecuados, detrimento y</w:t>
      </w:r>
      <w:r>
        <w:rPr>
          <w:rFonts w:ascii="Montserrat" w:eastAsia="Montserrat" w:hAnsi="Montserrat" w:cs="Montserrat"/>
          <w:sz w:val="24"/>
          <w:szCs w:val="24"/>
        </w:rPr>
        <w:t xml:space="preserve"> discriminación en el lugar de trabajo</w:t>
      </w:r>
      <w:r>
        <w:rPr>
          <w:rFonts w:ascii="Montserrat" w:eastAsia="Montserrat" w:hAnsi="Montserrat" w:cs="Montserrat"/>
          <w:vertAlign w:val="superscript"/>
        </w:rPr>
        <w:footnoteReference w:id="2"/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Ésto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no es normal ni deberíamos verlo como inevitable.</w:t>
      </w:r>
    </w:p>
    <w:p w14:paraId="09A8E3A5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 acuerdo con la NOM-035-SSA2-201, en las mujeres mexicanas la menopausia ocurre en promedio entre los 47 y 49 años, siendo precedida por un periodo de duraci</w:t>
      </w:r>
      <w:r>
        <w:rPr>
          <w:rFonts w:ascii="Montserrat" w:eastAsia="Montserrat" w:hAnsi="Montserrat" w:cs="Montserrat"/>
          <w:sz w:val="24"/>
          <w:szCs w:val="24"/>
        </w:rPr>
        <w:t>ón variable durante el cual pueden presentarse los síntomas y signos característicos del síndrome climatérico. Sin embargo, las enfermedades crónicas degenerativas inciden con más frecuencia durante las etapas de la perimenopausia y la postmenopausia, orig</w:t>
      </w:r>
      <w:r>
        <w:rPr>
          <w:rFonts w:ascii="Montserrat" w:eastAsia="Montserrat" w:hAnsi="Montserrat" w:cs="Montserrat"/>
          <w:sz w:val="24"/>
          <w:szCs w:val="24"/>
        </w:rPr>
        <w:t>inando deterioro de la calidad de vida e incremento de la morbilidad y mortalidad</w:t>
      </w:r>
      <w:r>
        <w:rPr>
          <w:rFonts w:ascii="Montserrat" w:eastAsia="Montserrat" w:hAnsi="Montserrat" w:cs="Montserrat"/>
          <w:vertAlign w:val="superscript"/>
        </w:rPr>
        <w:footnoteReference w:id="3"/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2F31D55C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caída en la producción de las hormonas femeninas por los ovarios resulta en señales y síntomas como períodos menstruales irregulares o ausentes, ansiedad, bochornos, de</w:t>
      </w:r>
      <w:r>
        <w:rPr>
          <w:rFonts w:ascii="Montserrat" w:eastAsia="Montserrat" w:hAnsi="Montserrat" w:cs="Montserrat"/>
          <w:sz w:val="24"/>
          <w:szCs w:val="24"/>
        </w:rPr>
        <w:t xml:space="preserve">presión, escalofríos, sudores nocturnos, problemas de sueño, cambios en el estado de ánimo, aumento de peso y metabolismo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lento, afinamiento del cabello, piel seca y arrugas, sequedad vaginal, disminución del deseo sexual, entre otros</w:t>
      </w:r>
      <w:r>
        <w:rPr>
          <w:rFonts w:ascii="Montserrat" w:eastAsia="Montserrat" w:hAnsi="Montserrat" w:cs="Montserrat"/>
          <w:vertAlign w:val="superscript"/>
        </w:rPr>
        <w:footnoteReference w:id="4"/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25D2F40A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 anterior, puede</w:t>
      </w:r>
      <w:r>
        <w:rPr>
          <w:rFonts w:ascii="Montserrat" w:eastAsia="Montserrat" w:hAnsi="Montserrat" w:cs="Montserrat"/>
          <w:sz w:val="24"/>
          <w:szCs w:val="24"/>
        </w:rPr>
        <w:t xml:space="preserve"> tener repercusiones a mediano plazo como insomnio, cansancio crónico, dificultades en la memoria, baja autoestima y depresión, así como vida sexual e interpersonal afectadas; culminando en pérdida de la calidad de vida y la disminución de la capacidad fun</w:t>
      </w:r>
      <w:r>
        <w:rPr>
          <w:rFonts w:ascii="Montserrat" w:eastAsia="Montserrat" w:hAnsi="Montserrat" w:cs="Montserrat"/>
          <w:sz w:val="24"/>
          <w:szCs w:val="24"/>
        </w:rPr>
        <w:t>cional.</w:t>
      </w:r>
    </w:p>
    <w:p w14:paraId="28E8FC0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Es necesario señalar que, de no hacer ajustes en su estilo de vida, las mujeres son más susceptibles a largo plazo a padecimientos como hipertensión, diabetes mellitus, dislipidemia, infarto agudo de miocardio, osteoporosis, incontinencia urinaria </w:t>
      </w:r>
      <w:r>
        <w:rPr>
          <w:rFonts w:ascii="Montserrat" w:eastAsia="Montserrat" w:hAnsi="Montserrat" w:cs="Montserrat"/>
          <w:sz w:val="24"/>
          <w:szCs w:val="24"/>
        </w:rPr>
        <w:t>y depresión refractaria.</w:t>
      </w:r>
    </w:p>
    <w:p w14:paraId="0D18CF27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Según una encuesta, el 99% de las mujeres dijeron que habían experimentado al menos un síntoma de menopausia. La “dificultad para dormir” fue la más reportada (81%), seguida de problemas de memoria y/o concentración (75%), y luego </w:t>
      </w:r>
      <w:r>
        <w:rPr>
          <w:rFonts w:ascii="Montserrat" w:eastAsia="Montserrat" w:hAnsi="Montserrat" w:cs="Montserrat"/>
          <w:sz w:val="24"/>
          <w:szCs w:val="24"/>
        </w:rPr>
        <w:t>sofocos y sudores nocturnos (ambos 73%). Un número significativo (69%) informó ansiedad o depresión como síntoma. El 92% informó que estos síntomas las afectan en el trabajo, afirmando que eran menos capaces de concentrarse (72%), experimentaron un mayor e</w:t>
      </w:r>
      <w:r>
        <w:rPr>
          <w:rFonts w:ascii="Montserrat" w:eastAsia="Montserrat" w:hAnsi="Montserrat" w:cs="Montserrat"/>
          <w:sz w:val="24"/>
          <w:szCs w:val="24"/>
        </w:rPr>
        <w:t>strés (70%) y pérdida de confianza (67%)</w:t>
      </w:r>
      <w:r>
        <w:rPr>
          <w:rFonts w:ascii="Montserrat" w:eastAsia="Montserrat" w:hAnsi="Montserrat" w:cs="Montserrat"/>
          <w:vertAlign w:val="superscript"/>
        </w:rPr>
        <w:footnoteReference w:id="5"/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14:paraId="0BCFD50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Con respecto al climaterio y la menopausia, la edad promedio en la que se presenta va de los 45 a los 48 años de edad por lo que considerando los datos del Censo de Población y Vivienda 2020, se puede estimar que</w:t>
      </w:r>
      <w:r>
        <w:rPr>
          <w:rFonts w:ascii="Montserrat" w:eastAsia="Montserrat" w:hAnsi="Montserrat" w:cs="Montserrat"/>
          <w:sz w:val="24"/>
          <w:szCs w:val="24"/>
        </w:rPr>
        <w:t xml:space="preserve"> en México existen aproximadamente 14 millones 847 mil mujeres de 50 años o más</w:t>
      </w:r>
      <w:r>
        <w:rPr>
          <w:rFonts w:ascii="Montserrat" w:eastAsia="Montserrat" w:hAnsi="Montserrat" w:cs="Montserrat"/>
          <w:vertAlign w:val="superscript"/>
        </w:rPr>
        <w:footnoteReference w:id="6"/>
      </w:r>
      <w:r>
        <w:rPr>
          <w:rFonts w:ascii="Montserrat" w:eastAsia="Montserrat" w:hAnsi="Montserrat" w:cs="Montserrat"/>
          <w:sz w:val="24"/>
          <w:szCs w:val="24"/>
        </w:rPr>
        <w:t>. Esto sin considerar que el 1% de las mujeres mexicanas menores de 40 años experimentan menopausia prematura, con lo que se añadiría poco más de medio millón de personas, ent</w:t>
      </w:r>
      <w:r>
        <w:rPr>
          <w:rFonts w:ascii="Montserrat" w:eastAsia="Montserrat" w:hAnsi="Montserrat" w:cs="Montserrat"/>
          <w:sz w:val="24"/>
          <w:szCs w:val="24"/>
        </w:rPr>
        <w:t xml:space="preserve">re la población susceptible a ser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atendida por el Estado Mexicano con motivo de la menopausia o el climaterio.</w:t>
      </w:r>
    </w:p>
    <w:p w14:paraId="3F2B9B0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Además de las dificultades causadas por los propios síntomas de la menopausia, los estudios señalan que la actitud de colegas y superiores direct</w:t>
      </w:r>
      <w:r>
        <w:rPr>
          <w:rFonts w:ascii="Montserrat" w:eastAsia="Montserrat" w:hAnsi="Montserrat" w:cs="Montserrat"/>
          <w:sz w:val="24"/>
          <w:szCs w:val="24"/>
        </w:rPr>
        <w:t>os puede tener un impacto significativo en las mujeres en términos de sentirse capaces de buscar apoyo e incluso permanecer en su trabajo. Según un estudio, menos de un tercio de las encuestadas que estaban experimentando la menopausia se lo dijeron a algu</w:t>
      </w:r>
      <w:r>
        <w:rPr>
          <w:rFonts w:ascii="Montserrat" w:eastAsia="Montserrat" w:hAnsi="Montserrat" w:cs="Montserrat"/>
          <w:sz w:val="24"/>
          <w:szCs w:val="24"/>
        </w:rPr>
        <w:t>ien en el trabajo</w:t>
      </w:r>
      <w:r>
        <w:rPr>
          <w:rFonts w:ascii="Montserrat" w:eastAsia="Montserrat" w:hAnsi="Montserrat" w:cs="Montserrat"/>
          <w:vertAlign w:val="superscript"/>
        </w:rPr>
        <w:footnoteReference w:id="7"/>
      </w:r>
      <w:r>
        <w:rPr>
          <w:rFonts w:ascii="Montserrat" w:eastAsia="Montserrat" w:hAnsi="Montserrat" w:cs="Montserrat"/>
          <w:sz w:val="24"/>
          <w:szCs w:val="24"/>
        </w:rPr>
        <w:t>. Las principales razones dadas para esto fueron la privacidad, seguidas de la preocupación por las reacciones de las personas.</w:t>
      </w:r>
    </w:p>
    <w:p w14:paraId="06E685CB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Una de las razones principales por las que es tan esencial tener una política pública de menopausia es porque los síntomas de la menopausia pueden ser muy variados y, a menudo, graves. Estos incluyen síntomas tanto psicológicos como físicos que pueden afec</w:t>
      </w:r>
      <w:r>
        <w:rPr>
          <w:rFonts w:ascii="Montserrat" w:eastAsia="Montserrat" w:hAnsi="Montserrat" w:cs="Montserrat"/>
          <w:sz w:val="24"/>
          <w:szCs w:val="24"/>
        </w:rPr>
        <w:t>tar drásticamente la vida de una persona, incluida su vida laboral.</w:t>
      </w:r>
    </w:p>
    <w:p w14:paraId="54A7614F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Muchas mujeres que atraviesan la menopausia se enfrentan a la falta de apoyo de sus empleadores. Tradicionalmente, ha habido una falta de sensibilidad y consideración en torno a este aspec</w:t>
      </w:r>
      <w:r>
        <w:rPr>
          <w:rFonts w:ascii="Montserrat" w:eastAsia="Montserrat" w:hAnsi="Montserrat" w:cs="Montserrat"/>
          <w:sz w:val="24"/>
          <w:szCs w:val="24"/>
        </w:rPr>
        <w:t>to de la salud de la mujer y cómo puede afectar la experiencia de un individuo en el lugar de trabajo.</w:t>
      </w:r>
    </w:p>
    <w:p w14:paraId="344D061E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ausencia de una política sobre la menopausia podría conducir a un menor compromiso, así como a un menor rendimiento y productividad. Otros problemas p</w:t>
      </w:r>
      <w:r>
        <w:rPr>
          <w:rFonts w:ascii="Montserrat" w:eastAsia="Montserrat" w:hAnsi="Montserrat" w:cs="Montserrat"/>
          <w:sz w:val="24"/>
          <w:szCs w:val="24"/>
        </w:rPr>
        <w:t>otenciales incluyen relaciones conflictivas entre empleados y empleadores, días de enfermedad no autorizados y baja moral.</w:t>
      </w:r>
    </w:p>
    <w:p w14:paraId="09F06E64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 menos que se generen políticas públicas sobre la menopausia, existen varios riesgos que incluyen:</w:t>
      </w:r>
    </w:p>
    <w:p w14:paraId="67C79C5C" w14:textId="77777777" w:rsidR="00153AA4" w:rsidRDefault="00777B8B">
      <w:pPr>
        <w:numPr>
          <w:ilvl w:val="0"/>
          <w:numId w:val="1"/>
        </w:numPr>
        <w:spacing w:before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Que las empleadas puedan perder l</w:t>
      </w:r>
      <w:r>
        <w:rPr>
          <w:rFonts w:ascii="Montserrat" w:eastAsia="Montserrat" w:hAnsi="Montserrat" w:cs="Montserrat"/>
          <w:sz w:val="24"/>
          <w:szCs w:val="24"/>
        </w:rPr>
        <w:t>a confianza en sus capacidades y destrezas.</w:t>
      </w:r>
    </w:p>
    <w:p w14:paraId="6FC671CD" w14:textId="77777777" w:rsidR="00153AA4" w:rsidRDefault="00777B8B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El personal puede ausentarse del trabajo (sin compartir la verdadera razón para hacerlo)</w:t>
      </w:r>
    </w:p>
    <w:p w14:paraId="2B08B365" w14:textId="77777777" w:rsidR="00153AA4" w:rsidRDefault="00777B8B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Las empleadas pueden experimentar un mayor riesgo de depresión, estrés y ansiedad.</w:t>
      </w:r>
    </w:p>
    <w:p w14:paraId="07D6EF27" w14:textId="77777777" w:rsidR="00153AA4" w:rsidRDefault="00777B8B">
      <w:pPr>
        <w:numPr>
          <w:ilvl w:val="0"/>
          <w:numId w:val="1"/>
        </w:num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Las empleadas valiosas pueden dejar el t</w:t>
      </w:r>
      <w:r>
        <w:rPr>
          <w:rFonts w:ascii="Montserrat" w:eastAsia="Montserrat" w:hAnsi="Montserrat" w:cs="Montserrat"/>
          <w:sz w:val="24"/>
          <w:szCs w:val="24"/>
        </w:rPr>
        <w:t>rabajo.</w:t>
      </w:r>
    </w:p>
    <w:p w14:paraId="5BA16D41" w14:textId="77777777" w:rsidR="00153AA4" w:rsidRDefault="00777B8B">
      <w:pPr>
        <w:numPr>
          <w:ilvl w:val="0"/>
          <w:numId w:val="1"/>
        </w:numPr>
        <w:spacing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Sin una política clara, existe más riesgo de que los empleados enfrenten discriminación debido a síntomas relacionados con la menopausia.</w:t>
      </w:r>
    </w:p>
    <w:p w14:paraId="5AE93865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menopausia la experimentan las mujeres y las personas que menstrúan; sin embargo, todos deben participar en</w:t>
      </w:r>
      <w:r>
        <w:rPr>
          <w:rFonts w:ascii="Montserrat" w:eastAsia="Montserrat" w:hAnsi="Montserrat" w:cs="Montserrat"/>
          <w:sz w:val="24"/>
          <w:szCs w:val="24"/>
        </w:rPr>
        <w:t xml:space="preserve"> cualquier capacitación y conversación. Quienes no experimentan la menopausia pueden beneficiarse de este conocimiento, lo que les permitirá apoyar a quienes sí la experimentan y promover la inclusión en el lugar de trabajo.</w:t>
      </w:r>
    </w:p>
    <w:p w14:paraId="4025561B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Existen varias formas clave en </w:t>
      </w:r>
      <w:r>
        <w:rPr>
          <w:rFonts w:ascii="Montserrat" w:eastAsia="Montserrat" w:hAnsi="Montserrat" w:cs="Montserrat"/>
          <w:sz w:val="24"/>
          <w:szCs w:val="24"/>
        </w:rPr>
        <w:t xml:space="preserve">las que se puede apoyar a una empleada que atraviesa la menopausia, incluidas tareas modificadas y jornadas reducidas; otras formas de acuerdos laborales flexibles, como el trabajo a distancia; poder tomar descansos o ir al baño con regularidad; y, cuando </w:t>
      </w:r>
      <w:r>
        <w:rPr>
          <w:rFonts w:ascii="Montserrat" w:eastAsia="Montserrat" w:hAnsi="Montserrat" w:cs="Montserrat"/>
          <w:sz w:val="24"/>
          <w:szCs w:val="24"/>
        </w:rPr>
        <w:t>corresponda, un código de vestimenta más relajado.</w:t>
      </w:r>
    </w:p>
    <w:p w14:paraId="7365145C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menopausia se ha banalizado, en frases como “abanícate” se demerita el sentir de la persona, es como decirle a alguien que necesita insulina: “come menos”. Hay una necesidad médica y laboral que hay que</w:t>
      </w:r>
      <w:r>
        <w:rPr>
          <w:rFonts w:ascii="Montserrat" w:eastAsia="Montserrat" w:hAnsi="Montserrat" w:cs="Montserrat"/>
          <w:sz w:val="24"/>
          <w:szCs w:val="24"/>
        </w:rPr>
        <w:t xml:space="preserve"> atender. </w:t>
      </w:r>
    </w:p>
    <w:p w14:paraId="07CB035D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Hay un reto importante en conseguir que la menopausia y climaterio dejen de ser etapas silenciosas y angustiosas; y que, por lo contrario, exista acompañamiento en todos los espacios de la mujer, desde casa hasta el trabajo.</w:t>
      </w:r>
    </w:p>
    <w:p w14:paraId="124CB6AB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Lejos de suponer un </w:t>
      </w:r>
      <w:r>
        <w:rPr>
          <w:rFonts w:ascii="Montserrat" w:eastAsia="Montserrat" w:hAnsi="Montserrat" w:cs="Montserrat"/>
          <w:sz w:val="24"/>
          <w:szCs w:val="24"/>
        </w:rPr>
        <w:t>momento final en la juventud de la mujer, este proceso debe ser comprendido como un nuevo comienzo hacia una vida más plena, consciente y satisfactoria.</w:t>
      </w:r>
    </w:p>
    <w:p w14:paraId="24087439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En el marco del 18 de octubre, Día Mundial de la Menopausia, se promueve la siguiente iniciativa con ca</w:t>
      </w:r>
      <w:r>
        <w:rPr>
          <w:rFonts w:ascii="Montserrat" w:eastAsia="Montserrat" w:hAnsi="Montserrat" w:cs="Montserrat"/>
          <w:sz w:val="24"/>
          <w:szCs w:val="24"/>
        </w:rPr>
        <w:t>rácter de:</w:t>
      </w:r>
    </w:p>
    <w:p w14:paraId="735F67BA" w14:textId="77777777" w:rsidR="00153AA4" w:rsidRDefault="00153AA4">
      <w:pPr>
        <w:spacing w:before="240" w:after="240" w:line="360" w:lineRule="auto"/>
        <w:jc w:val="center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2E1B2D2D" w14:textId="77777777" w:rsidR="00153AA4" w:rsidRDefault="00777B8B">
      <w:pPr>
        <w:spacing w:before="240" w:after="240" w:line="360" w:lineRule="auto"/>
        <w:jc w:val="center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DECRETO</w:t>
      </w:r>
    </w:p>
    <w:p w14:paraId="63A0F2AF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PRIMERO.-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 adicionan los siguientes párrafos al Código Administrativo del Estado de Chihuahua, para quedar redactado de la siguiente manera:</w:t>
      </w:r>
    </w:p>
    <w:p w14:paraId="308B0D86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ARTÍCULO 92.</w:t>
      </w:r>
    </w:p>
    <w:p w14:paraId="6192A15F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(…)</w:t>
      </w:r>
    </w:p>
    <w:p w14:paraId="5145B598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Las mujeres y personas menstruantes tendrán derecho a permisos laborales con goce de sueldo durante el pe</w:t>
      </w:r>
      <w:r>
        <w:rPr>
          <w:rFonts w:ascii="Montserrat" w:eastAsia="Montserrat" w:hAnsi="Montserrat" w:cs="Montserrat"/>
          <w:b/>
          <w:sz w:val="24"/>
          <w:szCs w:val="24"/>
        </w:rPr>
        <w:t>ríodo del climaterio o menopausia, cuando se hayan diagnosticado síntomas incapacitantes.</w:t>
      </w:r>
    </w:p>
    <w:p w14:paraId="7A545A4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Las mujeres y personas menstruantes tendrán derecho a recibir de sus superiores en su centro de trabajo apoyo para atender los síntomas de la etapa de menopausia, así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como las facilidades para su tratamiento, donde se pueden contemplar el trabajo a distancia, la reducción de la jornada laboral y demás acciones que faciliten el tratamiento más adecuado de su sintomatología.</w:t>
      </w:r>
    </w:p>
    <w:p w14:paraId="1117B893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En los centros de trabajo se proveerá de información actualizada sobre el climaterio y la menopausia que ayude promover el soporte médico y psicológico, así como la no-discriminación. </w:t>
      </w:r>
    </w:p>
    <w:p w14:paraId="5610992C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SEGUNDO.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 adicionan la fracción IX al artículo 63 de la Ley Estatal 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 Salud, para quedar redactado de la siguiente manera:</w:t>
      </w:r>
    </w:p>
    <w:p w14:paraId="55D1088C" w14:textId="77777777" w:rsidR="00153AA4" w:rsidRDefault="00777B8B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Artículo 63. La salud reproductiva comprende:</w:t>
      </w:r>
    </w:p>
    <w:p w14:paraId="4F41BB59" w14:textId="77777777" w:rsidR="00153AA4" w:rsidRDefault="00777B8B">
      <w:pPr>
        <w:spacing w:before="240" w:after="240" w:line="360" w:lineRule="auto"/>
        <w:ind w:left="72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IX. La implementación de acciones tendientes a garantizar, informar y educar sobre el climaterio y menopausia, procurando el acceso a tratamientos, incluye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ndo los medicamentos, para tratar </w:t>
      </w:r>
      <w:r>
        <w:rPr>
          <w:rFonts w:ascii="Montserrat" w:eastAsia="Montserrat" w:hAnsi="Montserrat" w:cs="Montserrat"/>
          <w:b/>
          <w:sz w:val="24"/>
          <w:szCs w:val="24"/>
        </w:rPr>
        <w:lastRenderedPageBreak/>
        <w:t>las molestias físicas y mentales ocasionadas por este hecho, así como la promoción sobre de nutrición y ejercicio para mejorar de manera efectiva la vida de las mujeres y personas menstruantes en estas etapas.</w:t>
      </w:r>
    </w:p>
    <w:p w14:paraId="27BD3307" w14:textId="77777777" w:rsidR="00153AA4" w:rsidRDefault="00153AA4">
      <w:pPr>
        <w:spacing w:before="12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p w14:paraId="205B6A63" w14:textId="77777777" w:rsidR="00153AA4" w:rsidRDefault="00777B8B">
      <w:pPr>
        <w:spacing w:before="12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TRANSITORIO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S</w:t>
      </w:r>
    </w:p>
    <w:p w14:paraId="6E0D1F72" w14:textId="77777777" w:rsidR="00153AA4" w:rsidRDefault="00777B8B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ARTÍCULO </w:t>
      </w: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PRIMERO.-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El presente Decreto entrará en vigor al día siguiente de su publicación en Periódico Oficial del Estado.</w:t>
      </w:r>
    </w:p>
    <w:p w14:paraId="087C3D32" w14:textId="77777777" w:rsidR="00153AA4" w:rsidRDefault="00777B8B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ECONÓMICO: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Aprobado que sea,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turnese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la Secretaría para que elabore la Minuta de Decreto en los términos en que deba publicarse.</w:t>
      </w:r>
    </w:p>
    <w:p w14:paraId="2144667B" w14:textId="77777777" w:rsidR="00153AA4" w:rsidRDefault="00777B8B">
      <w:pPr>
        <w:spacing w:before="12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Dado en el Honorable Congreso del Estado de Chihuahua, a los 24 días del mes de octubre del 2023.</w:t>
      </w:r>
    </w:p>
    <w:p w14:paraId="581C42D1" w14:textId="77777777" w:rsidR="00153AA4" w:rsidRDefault="00153AA4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</w:p>
    <w:p w14:paraId="4F3C265D" w14:textId="77777777" w:rsidR="00153AA4" w:rsidRDefault="00777B8B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5198A0D7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A T E N T A M E N T E</w:t>
      </w:r>
    </w:p>
    <w:p w14:paraId="675F36E3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GRUPO PARLAMENTARIO DE MORENA</w:t>
      </w:r>
    </w:p>
    <w:p w14:paraId="4AC99A0D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3327BAAB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1630F2B6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3"/>
        <w:gridCol w:w="4362"/>
      </w:tblGrid>
      <w:tr w:rsidR="00153AA4" w14:paraId="25365845" w14:textId="77777777">
        <w:trPr>
          <w:trHeight w:val="205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F99F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80429DF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JAEL ARGÜELLES DÍAZ</w:t>
            </w:r>
          </w:p>
          <w:p w14:paraId="22C71313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A33892F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6229C47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1F37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60046F80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 CUAUHTÉMOC ESTRADA SOTELO</w:t>
            </w:r>
          </w:p>
        </w:tc>
      </w:tr>
      <w:tr w:rsidR="00153AA4" w14:paraId="2EADD6AA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0F95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lastRenderedPageBreak/>
              <w:t>________________________________</w:t>
            </w:r>
          </w:p>
          <w:p w14:paraId="5E9389AA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LETICIA ORTEGA MAYNEZ</w:t>
            </w:r>
          </w:p>
          <w:p w14:paraId="5D1523FC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F12639A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F83B162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A38DD6A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D2B2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15A9D06E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BENJAMÍN CARRERA CHÁVEZ</w:t>
            </w:r>
          </w:p>
        </w:tc>
      </w:tr>
      <w:tr w:rsidR="00153AA4" w14:paraId="4C98E9BD" w14:textId="77777777">
        <w:trPr>
          <w:trHeight w:val="23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1544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5069C5EB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DAVID OSCAR CASTREJÓN RIVAS</w:t>
            </w:r>
          </w:p>
          <w:p w14:paraId="04DA97A6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0F87586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6C174B0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6A66A11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D7C1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0144EF31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GUSTAVO DE LA ROSA HICKERSON</w:t>
            </w:r>
          </w:p>
        </w:tc>
      </w:tr>
      <w:tr w:rsidR="00153AA4" w14:paraId="45921934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E7AE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7803D25A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ILSE AMÉRICA GARCÍA SOTO</w:t>
            </w:r>
          </w:p>
          <w:p w14:paraId="45A9C639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D26588B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31F8C2F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C51D00C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488D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21975484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MAGDALENA RENTERÍA PÉREZ</w:t>
            </w:r>
          </w:p>
        </w:tc>
      </w:tr>
      <w:tr w:rsidR="00153AA4" w14:paraId="3A74030F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C426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26BA9AA2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 MARÍA ANTONIETA PÉREZ REYES</w:t>
            </w:r>
          </w:p>
          <w:p w14:paraId="5FCAEE80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72C8071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1481DA8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8F1F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4ECD70FA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OSCAR DANIEL AVITIA ARELLANES</w:t>
            </w:r>
          </w:p>
        </w:tc>
      </w:tr>
      <w:tr w:rsidR="00153AA4" w14:paraId="1B07C37B" w14:textId="77777777">
        <w:trPr>
          <w:trHeight w:val="8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20EE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lastRenderedPageBreak/>
              <w:t>________________________________</w:t>
            </w:r>
          </w:p>
          <w:p w14:paraId="734A1310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ROSANA DÍAZ REYE</w:t>
            </w: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S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4D63" w14:textId="77777777" w:rsidR="00153AA4" w:rsidRDefault="00777B8B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</w:tr>
    </w:tbl>
    <w:p w14:paraId="13E30A8C" w14:textId="77777777" w:rsidR="00153AA4" w:rsidRDefault="00777B8B">
      <w:pPr>
        <w:spacing w:line="360" w:lineRule="auto"/>
        <w:jc w:val="center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08184D91" w14:textId="77777777" w:rsidR="00153AA4" w:rsidRDefault="00153AA4"/>
    <w:sectPr w:rsidR="00153A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D116" w14:textId="77777777" w:rsidR="00000000" w:rsidRDefault="00777B8B">
      <w:pPr>
        <w:spacing w:line="240" w:lineRule="auto"/>
      </w:pPr>
      <w:r>
        <w:separator/>
      </w:r>
    </w:p>
  </w:endnote>
  <w:endnote w:type="continuationSeparator" w:id="0">
    <w:p w14:paraId="1C75504F" w14:textId="77777777" w:rsidR="00000000" w:rsidRDefault="0077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69B3" w14:textId="77777777" w:rsidR="00000000" w:rsidRDefault="00777B8B">
      <w:pPr>
        <w:spacing w:line="240" w:lineRule="auto"/>
      </w:pPr>
      <w:r>
        <w:separator/>
      </w:r>
    </w:p>
  </w:footnote>
  <w:footnote w:type="continuationSeparator" w:id="0">
    <w:p w14:paraId="424465C7" w14:textId="77777777" w:rsidR="00000000" w:rsidRDefault="00777B8B">
      <w:pPr>
        <w:spacing w:line="240" w:lineRule="auto"/>
      </w:pPr>
      <w:r>
        <w:continuationSeparator/>
      </w:r>
    </w:p>
  </w:footnote>
  <w:footnote w:id="1">
    <w:p w14:paraId="458202E2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World Health Organization,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>Menopause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, https://www.who.int/es/news-room/fact-sheets/detail/menopause</w:t>
      </w:r>
    </w:p>
  </w:footnote>
  <w:footnote w:id="2">
    <w:p w14:paraId="27B5710B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 House of Commons: Women and Equalities Committee,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>Menopause and the workplace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, Disponible en: https://web.archive.org/web/20230129122754/http://committees.parliament.uk/publications/23281/documents/169819/default/</w:t>
      </w:r>
    </w:p>
  </w:footnote>
  <w:footnote w:id="3">
    <w:p w14:paraId="76BE7DC6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>Norma Oficial Mexicana NOM-035-SSA2-2012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, Para la prevención y control de enfermedades en la perimenopausia y postmen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opausia de la mujer. Criterios para brindar atención médica.</w:t>
      </w:r>
    </w:p>
  </w:footnote>
  <w:footnote w:id="4">
    <w:p w14:paraId="04EBF96A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Flores, Mónica, “Perimenopausia y trastornos afectivos: aspectos básicos y clínicos”, Salud Mental, vol. 35, no., México, 2012. Disponible en</w:t>
      </w:r>
      <w:hyperlink r:id="rId1">
        <w:r>
          <w:rPr>
            <w:rFonts w:ascii="Montserrat" w:eastAsia="Montserrat" w:hAnsi="Montserrat" w:cs="Montserrat"/>
            <w:sz w:val="18"/>
            <w:szCs w:val="18"/>
            <w:shd w:val="clear" w:color="auto" w:fill="FEFFFF"/>
          </w:rPr>
          <w:t xml:space="preserve"> </w:t>
        </w:r>
      </w:hyperlink>
      <w:hyperlink r:id="rId2">
        <w:r>
          <w:rPr>
            <w:rFonts w:ascii="Montserrat" w:eastAsia="Montserrat" w:hAnsi="Montserrat" w:cs="Montserrat"/>
            <w:color w:val="1155CC"/>
            <w:sz w:val="18"/>
            <w:szCs w:val="18"/>
            <w:u w:val="single"/>
            <w:shd w:val="clear" w:color="auto" w:fill="FEFFFF"/>
          </w:rPr>
          <w:t>https://www.scielo.org.mx/scielo.php?script=sci_arttext&amp;pid=S0185-33252012000300007</w:t>
        </w:r>
      </w:hyperlink>
    </w:p>
  </w:footnote>
  <w:footnote w:id="5">
    <w:p w14:paraId="6BCBFAF2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House of Commons: Women and Equalities Committee,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>Menopause and the workplace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,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 cit., p. 18.</w:t>
      </w:r>
    </w:p>
  </w:footnote>
  <w:footnote w:id="6">
    <w:p w14:paraId="0B6712E6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García, Aline,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 xml:space="preserve">Menopausia, etapa nueva de oportunidades.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Disponible en: https://www.dgcs.unam.mx/boletin/bdboletin/2022_847.html</w:t>
      </w:r>
    </w:p>
  </w:footnote>
  <w:footnote w:id="7">
    <w:p w14:paraId="0C4CB423" w14:textId="77777777" w:rsidR="00153AA4" w:rsidRDefault="00777B8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 xml:space="preserve">House of Commons: Women and Equalities Committee, </w:t>
      </w:r>
      <w:r>
        <w:rPr>
          <w:rFonts w:ascii="Montserrat" w:eastAsia="Montserrat" w:hAnsi="Montserrat" w:cs="Montserrat"/>
          <w:i/>
          <w:sz w:val="18"/>
          <w:szCs w:val="18"/>
          <w:shd w:val="clear" w:color="auto" w:fill="FEFFFF"/>
        </w:rPr>
        <w:t>Menopause and the workplace</w:t>
      </w:r>
      <w:r>
        <w:rPr>
          <w:rFonts w:ascii="Montserrat" w:eastAsia="Montserrat" w:hAnsi="Montserrat" w:cs="Montserrat"/>
          <w:sz w:val="18"/>
          <w:szCs w:val="18"/>
          <w:shd w:val="clear" w:color="auto" w:fill="FEFFFF"/>
        </w:rPr>
        <w:t>, cit., p. 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9350E"/>
    <w:multiLevelType w:val="multilevel"/>
    <w:tmpl w:val="27228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A4"/>
    <w:rsid w:val="00153AA4"/>
    <w:rsid w:val="007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4265"/>
  <w15:docId w15:val="{EF0F4C34-05E2-4243-B79A-FE87FA52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line="203" w:lineRule="auto"/>
      <w:outlineLvl w:val="5"/>
    </w:pPr>
    <w:rPr>
      <w:rFonts w:ascii="Montserrat" w:eastAsia="Montserrat" w:hAnsi="Montserrat" w:cs="Montserrat"/>
      <w:sz w:val="18"/>
      <w:szCs w:val="18"/>
      <w:shd w:val="clear" w:color="auto" w:fill="FE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lo.org.mx/scielo.php?script=sci_arttext&amp;pid=S0185-33252012000300007" TargetMode="External"/><Relationship Id="rId1" Type="http://schemas.openxmlformats.org/officeDocument/2006/relationships/hyperlink" Target="https://www.scielo.org.mx/scielo.php?script=sci_arttext&amp;pid=S0185-3325201200030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2023-10-23T20:08:00Z</dcterms:created>
  <dcterms:modified xsi:type="dcterms:W3CDTF">2023-10-23T20:08:00Z</dcterms:modified>
</cp:coreProperties>
</file>