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19BDC" w14:textId="4B67B267" w:rsidR="0011052F" w:rsidRPr="00921A7D" w:rsidRDefault="0011052F" w:rsidP="00833417">
      <w:pPr>
        <w:autoSpaceDE w:val="0"/>
        <w:autoSpaceDN w:val="0"/>
        <w:adjustRightInd w:val="0"/>
        <w:spacing w:line="276" w:lineRule="auto"/>
        <w:jc w:val="both"/>
        <w:rPr>
          <w:rFonts w:ascii="Arial" w:hAnsi="Arial" w:cs="Arial"/>
          <w:b/>
          <w:bCs/>
          <w:color w:val="000000"/>
        </w:rPr>
      </w:pPr>
      <w:bookmarkStart w:id="0" w:name="_Hlk174015620"/>
      <w:bookmarkStart w:id="1" w:name="_Hlk174018701"/>
      <w:r w:rsidRPr="00921A7D">
        <w:rPr>
          <w:rFonts w:ascii="Arial" w:hAnsi="Arial" w:cs="Arial"/>
          <w:b/>
          <w:bCs/>
          <w:color w:val="000000"/>
        </w:rPr>
        <w:t>H. CONGRESO DEL ESTADO DE CHIHUAHUA</w:t>
      </w:r>
    </w:p>
    <w:p w14:paraId="2A951BF8" w14:textId="77777777" w:rsidR="0011052F" w:rsidRPr="00921A7D" w:rsidRDefault="0011052F" w:rsidP="00833417">
      <w:pPr>
        <w:autoSpaceDE w:val="0"/>
        <w:autoSpaceDN w:val="0"/>
        <w:adjustRightInd w:val="0"/>
        <w:spacing w:line="276" w:lineRule="auto"/>
        <w:jc w:val="both"/>
        <w:rPr>
          <w:rFonts w:ascii="Arial" w:hAnsi="Arial" w:cs="Arial"/>
          <w:color w:val="000000"/>
        </w:rPr>
      </w:pPr>
      <w:r w:rsidRPr="00921A7D">
        <w:rPr>
          <w:rFonts w:ascii="Arial" w:hAnsi="Arial" w:cs="Arial"/>
          <w:b/>
          <w:bCs/>
          <w:color w:val="000000"/>
        </w:rPr>
        <w:t>P R E S E N T E.</w:t>
      </w:r>
    </w:p>
    <w:p w14:paraId="7C8DA78C" w14:textId="77777777" w:rsidR="00921A7D" w:rsidRPr="00921A7D" w:rsidRDefault="00921A7D" w:rsidP="00313EC5">
      <w:pPr>
        <w:autoSpaceDE w:val="0"/>
        <w:autoSpaceDN w:val="0"/>
        <w:adjustRightInd w:val="0"/>
        <w:spacing w:line="276" w:lineRule="auto"/>
        <w:jc w:val="both"/>
        <w:rPr>
          <w:rFonts w:ascii="Arial" w:hAnsi="Arial" w:cs="Arial"/>
          <w:color w:val="000000"/>
        </w:rPr>
      </w:pPr>
    </w:p>
    <w:p w14:paraId="0CFDC3FB" w14:textId="222B9206" w:rsidR="0011052F" w:rsidRPr="00921A7D" w:rsidRDefault="00921A7D" w:rsidP="00313EC5">
      <w:pPr>
        <w:autoSpaceDE w:val="0"/>
        <w:autoSpaceDN w:val="0"/>
        <w:adjustRightInd w:val="0"/>
        <w:spacing w:line="276" w:lineRule="auto"/>
        <w:jc w:val="both"/>
        <w:rPr>
          <w:rFonts w:ascii="Arial" w:hAnsi="Arial" w:cs="Arial"/>
          <w:b/>
          <w:bCs/>
          <w:color w:val="000000"/>
        </w:rPr>
      </w:pPr>
      <w:r w:rsidRPr="00921A7D">
        <w:rPr>
          <w:rFonts w:ascii="Arial" w:hAnsi="Arial" w:cs="Arial"/>
          <w:color w:val="000000"/>
        </w:rPr>
        <w:t>Los</w:t>
      </w:r>
      <w:r w:rsidR="00951543" w:rsidRPr="00921A7D">
        <w:rPr>
          <w:rFonts w:ascii="Arial" w:hAnsi="Arial" w:cs="Arial"/>
          <w:color w:val="000000"/>
        </w:rPr>
        <w:t xml:space="preserve"> suscrito</w:t>
      </w:r>
      <w:r w:rsidRPr="00921A7D">
        <w:rPr>
          <w:rFonts w:ascii="Arial" w:hAnsi="Arial" w:cs="Arial"/>
          <w:color w:val="000000"/>
        </w:rPr>
        <w:t xml:space="preserve">s Diputados Oscar Daniel Avitia Arellanes, Edin Cuauhtémoc Estrada Sotelo, Magdalena Rentería Pérez, Jael Argüelles Díaz, Brenda Francisca Ríos Prieto, Elizabeth Guzmán Argueta, Edith Palma Ontiveros, Herminia Gómez Carrasco, Leticia Ortega Máynez, María Antonieta Pérez Reyes, Pedro Torres Estrada y Rosana Díaz Reyes en nuestro </w:t>
      </w:r>
      <w:r w:rsidR="0011052F" w:rsidRPr="00921A7D">
        <w:rPr>
          <w:rFonts w:ascii="Arial" w:hAnsi="Arial" w:cs="Arial"/>
          <w:color w:val="000000"/>
        </w:rPr>
        <w:t>carácter de</w:t>
      </w:r>
      <w:r w:rsidR="008D43A5" w:rsidRPr="00921A7D">
        <w:rPr>
          <w:rFonts w:ascii="Arial" w:hAnsi="Arial" w:cs="Arial"/>
          <w:color w:val="000000"/>
        </w:rPr>
        <w:t xml:space="preserve"> Diputado</w:t>
      </w:r>
      <w:r w:rsidRPr="00921A7D">
        <w:rPr>
          <w:rFonts w:ascii="Arial" w:hAnsi="Arial" w:cs="Arial"/>
          <w:color w:val="000000"/>
        </w:rPr>
        <w:t>s</w:t>
      </w:r>
      <w:r w:rsidR="0011052F" w:rsidRPr="00921A7D">
        <w:rPr>
          <w:rFonts w:ascii="Arial" w:hAnsi="Arial" w:cs="Arial"/>
          <w:color w:val="000000"/>
        </w:rPr>
        <w:t xml:space="preserve"> de la Sexagésima </w:t>
      </w:r>
      <w:r w:rsidR="00951543" w:rsidRPr="00921A7D">
        <w:rPr>
          <w:rFonts w:ascii="Arial" w:hAnsi="Arial" w:cs="Arial"/>
          <w:color w:val="000000"/>
        </w:rPr>
        <w:t>Octava</w:t>
      </w:r>
      <w:r w:rsidR="0011052F" w:rsidRPr="00921A7D">
        <w:rPr>
          <w:rFonts w:ascii="Arial" w:hAnsi="Arial" w:cs="Arial"/>
          <w:color w:val="000000"/>
        </w:rPr>
        <w:t xml:space="preserve"> Legislatura del Estado e integrante</w:t>
      </w:r>
      <w:r w:rsidRPr="00921A7D">
        <w:rPr>
          <w:rFonts w:ascii="Arial" w:hAnsi="Arial" w:cs="Arial"/>
          <w:color w:val="000000"/>
        </w:rPr>
        <w:t>s</w:t>
      </w:r>
      <w:r w:rsidR="0011052F" w:rsidRPr="00921A7D">
        <w:rPr>
          <w:rFonts w:ascii="Arial" w:hAnsi="Arial" w:cs="Arial"/>
          <w:color w:val="000000"/>
        </w:rPr>
        <w:t xml:space="preserve"> de</w:t>
      </w:r>
      <w:r w:rsidR="000F67C8" w:rsidRPr="00921A7D">
        <w:rPr>
          <w:rFonts w:ascii="Arial" w:hAnsi="Arial" w:cs="Arial"/>
          <w:color w:val="000000"/>
        </w:rPr>
        <w:t>l Grupo Parlamentario de</w:t>
      </w:r>
      <w:r w:rsidR="00951543" w:rsidRPr="00921A7D">
        <w:rPr>
          <w:rFonts w:ascii="Arial" w:hAnsi="Arial" w:cs="Arial"/>
          <w:color w:val="000000"/>
        </w:rPr>
        <w:t xml:space="preserve"> MORENA</w:t>
      </w:r>
      <w:r w:rsidR="0011052F" w:rsidRPr="00921A7D">
        <w:rPr>
          <w:rFonts w:ascii="Arial" w:hAnsi="Arial" w:cs="Arial"/>
          <w:color w:val="000000"/>
        </w:rPr>
        <w:t>, con fundamento en lo que disponen los artículos 68, fracción I, de la Constitución Política del Estado Libre y Soberano del Estado de Chihuahua; 167, fracción I, de la Ley Orgánica del Poder Legislativo; así como los numerales 75 y 76 del Reglamento Interior y de Prácticas Parlamentarias del Poder Legislativo, ambos ordenamientos del Estado de Chihuahua, compar</w:t>
      </w:r>
      <w:r w:rsidRPr="00921A7D">
        <w:rPr>
          <w:rFonts w:ascii="Arial" w:hAnsi="Arial" w:cs="Arial"/>
          <w:color w:val="000000"/>
        </w:rPr>
        <w:t>ecemos</w:t>
      </w:r>
      <w:r w:rsidR="0011052F" w:rsidRPr="00921A7D">
        <w:rPr>
          <w:rFonts w:ascii="Arial" w:hAnsi="Arial" w:cs="Arial"/>
          <w:color w:val="000000"/>
        </w:rPr>
        <w:t xml:space="preserve"> ante esta Honorable Representación Popular para presentar iniciativa con carácter de Decreto, </w:t>
      </w:r>
      <w:r w:rsidR="000F67C8" w:rsidRPr="00921A7D">
        <w:rPr>
          <w:rFonts w:ascii="Arial" w:hAnsi="Arial" w:cs="Arial"/>
          <w:color w:val="000000"/>
        </w:rPr>
        <w:t>a fin de reformar el Código Penal del Estado, para establecer la</w:t>
      </w:r>
      <w:r w:rsidR="00620163" w:rsidRPr="00921A7D">
        <w:rPr>
          <w:rFonts w:ascii="Arial" w:hAnsi="Arial" w:cs="Arial"/>
          <w:color w:val="000000"/>
        </w:rPr>
        <w:t xml:space="preserve"> concretización de la legítima defensa en casos de violencia de género, reforma</w:t>
      </w:r>
      <w:r w:rsidR="000F67C8" w:rsidRPr="00921A7D">
        <w:rPr>
          <w:rFonts w:ascii="Arial" w:hAnsi="Arial" w:cs="Arial"/>
          <w:color w:val="000000"/>
        </w:rPr>
        <w:t xml:space="preserve"> </w:t>
      </w:r>
      <w:r w:rsidR="00620163" w:rsidRPr="00921A7D">
        <w:rPr>
          <w:rFonts w:ascii="Arial" w:hAnsi="Arial" w:cs="Arial"/>
          <w:color w:val="000000"/>
        </w:rPr>
        <w:t>conocida como</w:t>
      </w:r>
      <w:r w:rsidR="000F67C8" w:rsidRPr="00921A7D">
        <w:rPr>
          <w:rFonts w:ascii="Arial" w:hAnsi="Arial" w:cs="Arial"/>
          <w:color w:val="000000"/>
        </w:rPr>
        <w:t xml:space="preserve"> “</w:t>
      </w:r>
      <w:r w:rsidR="000F67C8" w:rsidRPr="00921A7D">
        <w:rPr>
          <w:rFonts w:ascii="Arial" w:hAnsi="Arial" w:cs="Arial"/>
          <w:i/>
          <w:iCs/>
          <w:color w:val="000000"/>
        </w:rPr>
        <w:t>Ley Alina</w:t>
      </w:r>
      <w:r w:rsidR="000F67C8" w:rsidRPr="00921A7D">
        <w:rPr>
          <w:rFonts w:ascii="Arial" w:hAnsi="Arial" w:cs="Arial"/>
          <w:color w:val="000000"/>
        </w:rPr>
        <w:t>”</w:t>
      </w:r>
      <w:r w:rsidR="006E6B75" w:rsidRPr="00921A7D">
        <w:rPr>
          <w:rFonts w:ascii="Arial" w:hAnsi="Arial" w:cs="Arial"/>
          <w:color w:val="000000"/>
        </w:rPr>
        <w:t xml:space="preserve">, </w:t>
      </w:r>
      <w:r w:rsidR="00833417" w:rsidRPr="00921A7D">
        <w:rPr>
          <w:rFonts w:ascii="Arial" w:hAnsi="Arial" w:cs="Arial"/>
          <w:color w:val="000000"/>
        </w:rPr>
        <w:t xml:space="preserve">lo anterior </w:t>
      </w:r>
      <w:r w:rsidR="0011052F" w:rsidRPr="00921A7D">
        <w:rPr>
          <w:rFonts w:ascii="Arial" w:hAnsi="Arial" w:cs="Arial"/>
          <w:color w:val="000000"/>
        </w:rPr>
        <w:t xml:space="preserve">al tenor de la siguiente: </w:t>
      </w:r>
    </w:p>
    <w:p w14:paraId="47C6D8B7" w14:textId="77777777" w:rsidR="0011052F" w:rsidRPr="00921A7D" w:rsidRDefault="0011052F" w:rsidP="00313EC5">
      <w:pPr>
        <w:autoSpaceDE w:val="0"/>
        <w:autoSpaceDN w:val="0"/>
        <w:adjustRightInd w:val="0"/>
        <w:spacing w:line="276" w:lineRule="auto"/>
        <w:rPr>
          <w:rFonts w:ascii="Arial" w:hAnsi="Arial" w:cs="Arial"/>
          <w:b/>
          <w:bCs/>
          <w:color w:val="000000"/>
        </w:rPr>
      </w:pPr>
    </w:p>
    <w:p w14:paraId="7DECAB47" w14:textId="46E12EA2" w:rsidR="0011052F" w:rsidRPr="00921A7D" w:rsidRDefault="0011052F" w:rsidP="00313EC5">
      <w:pPr>
        <w:autoSpaceDE w:val="0"/>
        <w:autoSpaceDN w:val="0"/>
        <w:adjustRightInd w:val="0"/>
        <w:spacing w:line="276" w:lineRule="auto"/>
        <w:jc w:val="center"/>
        <w:rPr>
          <w:rFonts w:ascii="Arial" w:hAnsi="Arial" w:cs="Arial"/>
          <w:b/>
          <w:bCs/>
          <w:color w:val="000000"/>
        </w:rPr>
      </w:pPr>
      <w:r w:rsidRPr="00921A7D">
        <w:rPr>
          <w:rFonts w:ascii="Arial" w:hAnsi="Arial" w:cs="Arial"/>
          <w:b/>
          <w:bCs/>
          <w:color w:val="000000"/>
        </w:rPr>
        <w:t>EXPOSICIÓN DE MOTIVOS</w:t>
      </w:r>
    </w:p>
    <w:p w14:paraId="3BA92BE5" w14:textId="28D7E64D" w:rsidR="006E6B75" w:rsidRPr="00921A7D" w:rsidRDefault="006E6B75" w:rsidP="00313EC5">
      <w:pPr>
        <w:autoSpaceDE w:val="0"/>
        <w:autoSpaceDN w:val="0"/>
        <w:adjustRightInd w:val="0"/>
        <w:spacing w:line="276" w:lineRule="auto"/>
        <w:jc w:val="both"/>
        <w:rPr>
          <w:rFonts w:ascii="Arial" w:hAnsi="Arial" w:cs="Arial"/>
          <w:color w:val="000000"/>
        </w:rPr>
      </w:pPr>
    </w:p>
    <w:p w14:paraId="1449BB3E" w14:textId="65C6F418" w:rsidR="000F67C8" w:rsidRPr="00921A7D" w:rsidRDefault="000F67C8" w:rsidP="00313EC5">
      <w:pPr>
        <w:autoSpaceDE w:val="0"/>
        <w:autoSpaceDN w:val="0"/>
        <w:adjustRightInd w:val="0"/>
        <w:spacing w:line="276" w:lineRule="auto"/>
        <w:ind w:firstLine="708"/>
        <w:jc w:val="both"/>
        <w:rPr>
          <w:rFonts w:ascii="Arial" w:hAnsi="Arial" w:cs="Arial"/>
          <w:color w:val="000000"/>
        </w:rPr>
      </w:pPr>
      <w:r w:rsidRPr="00921A7D">
        <w:rPr>
          <w:rFonts w:ascii="Arial" w:hAnsi="Arial" w:cs="Arial"/>
          <w:color w:val="000000"/>
        </w:rPr>
        <w:t xml:space="preserve">La presente iniciativa, tiene como inspiración el caso de la ciudadana bajacaliforniana </w:t>
      </w:r>
      <w:r w:rsidRPr="00921A7D">
        <w:rPr>
          <w:rFonts w:ascii="Arial" w:hAnsi="Arial" w:cs="Arial"/>
          <w:i/>
          <w:iCs/>
          <w:color w:val="000000"/>
        </w:rPr>
        <w:t xml:space="preserve">Alina Mariel </w:t>
      </w:r>
      <w:proofErr w:type="spellStart"/>
      <w:r w:rsidRPr="00921A7D">
        <w:rPr>
          <w:rFonts w:ascii="Arial" w:hAnsi="Arial" w:cs="Arial"/>
          <w:i/>
          <w:iCs/>
          <w:color w:val="000000"/>
        </w:rPr>
        <w:t>Narziso</w:t>
      </w:r>
      <w:proofErr w:type="spellEnd"/>
      <w:r w:rsidRPr="00921A7D">
        <w:rPr>
          <w:rFonts w:ascii="Arial" w:hAnsi="Arial" w:cs="Arial"/>
          <w:i/>
          <w:iCs/>
          <w:color w:val="000000"/>
        </w:rPr>
        <w:t xml:space="preserve"> </w:t>
      </w:r>
      <w:proofErr w:type="spellStart"/>
      <w:r w:rsidRPr="00921A7D">
        <w:rPr>
          <w:rFonts w:ascii="Arial" w:hAnsi="Arial" w:cs="Arial"/>
          <w:i/>
          <w:iCs/>
          <w:color w:val="000000"/>
        </w:rPr>
        <w:t>Tehuaxtle</w:t>
      </w:r>
      <w:proofErr w:type="spellEnd"/>
      <w:r w:rsidRPr="00921A7D">
        <w:rPr>
          <w:rFonts w:ascii="Arial" w:hAnsi="Arial" w:cs="Arial"/>
          <w:color w:val="000000"/>
        </w:rPr>
        <w:t xml:space="preserve">, quien fue víctima de intento de homicidio por parte de su pareja sentimental y en defensa propia, desarmó a su pareja realizando detonaciones contra él causando su muerte, por </w:t>
      </w:r>
      <w:r w:rsidR="00C25325" w:rsidRPr="00921A7D">
        <w:rPr>
          <w:rFonts w:ascii="Arial" w:hAnsi="Arial" w:cs="Arial"/>
          <w:color w:val="000000"/>
        </w:rPr>
        <w:t xml:space="preserve">tal acción, </w:t>
      </w:r>
      <w:r w:rsidRPr="00921A7D">
        <w:rPr>
          <w:rFonts w:ascii="Arial" w:hAnsi="Arial" w:cs="Arial"/>
          <w:color w:val="000000"/>
        </w:rPr>
        <w:t xml:space="preserve">fue condenada a 45 años de prisión, sin embargo, se revocó la sentencia del Juez de primera instancia y se declaró que Alina actuó en legítima defensa. </w:t>
      </w:r>
    </w:p>
    <w:p w14:paraId="1B657FFF" w14:textId="77777777" w:rsidR="000F67C8" w:rsidRPr="00921A7D" w:rsidRDefault="000F67C8" w:rsidP="00313EC5">
      <w:pPr>
        <w:autoSpaceDE w:val="0"/>
        <w:autoSpaceDN w:val="0"/>
        <w:adjustRightInd w:val="0"/>
        <w:spacing w:line="276" w:lineRule="auto"/>
        <w:jc w:val="both"/>
        <w:rPr>
          <w:rFonts w:ascii="Arial" w:hAnsi="Arial" w:cs="Arial"/>
          <w:color w:val="000000"/>
        </w:rPr>
      </w:pPr>
    </w:p>
    <w:p w14:paraId="7021671F" w14:textId="6161AEFA" w:rsidR="000F67C8" w:rsidRPr="00921A7D" w:rsidRDefault="00313EC5" w:rsidP="00921A7D">
      <w:pPr>
        <w:autoSpaceDE w:val="0"/>
        <w:autoSpaceDN w:val="0"/>
        <w:adjustRightInd w:val="0"/>
        <w:spacing w:line="276" w:lineRule="auto"/>
        <w:ind w:firstLine="708"/>
        <w:jc w:val="both"/>
        <w:rPr>
          <w:rFonts w:ascii="Arial" w:hAnsi="Arial" w:cs="Arial"/>
          <w:color w:val="000000"/>
        </w:rPr>
      </w:pPr>
      <w:r w:rsidRPr="00921A7D">
        <w:rPr>
          <w:rFonts w:ascii="Arial" w:hAnsi="Arial" w:cs="Arial"/>
          <w:color w:val="000000"/>
        </w:rPr>
        <w:t>Lamentablemente, el caso de “Alina” no es el único que se ha presentado e</w:t>
      </w:r>
      <w:r w:rsidR="00E45D64" w:rsidRPr="00921A7D">
        <w:rPr>
          <w:rFonts w:ascii="Arial" w:hAnsi="Arial" w:cs="Arial"/>
          <w:color w:val="000000"/>
        </w:rPr>
        <w:t>n nuestro país</w:t>
      </w:r>
      <w:r w:rsidRPr="00921A7D">
        <w:rPr>
          <w:rFonts w:ascii="Arial" w:hAnsi="Arial" w:cs="Arial"/>
          <w:color w:val="000000"/>
        </w:rPr>
        <w:t>,</w:t>
      </w:r>
      <w:r w:rsidR="00E45D64" w:rsidRPr="00921A7D">
        <w:rPr>
          <w:rFonts w:ascii="Arial" w:hAnsi="Arial" w:cs="Arial"/>
          <w:color w:val="000000"/>
        </w:rPr>
        <w:t xml:space="preserve"> existen </w:t>
      </w:r>
      <w:r w:rsidRPr="00921A7D">
        <w:rPr>
          <w:rFonts w:ascii="Arial" w:hAnsi="Arial" w:cs="Arial"/>
          <w:color w:val="000000"/>
        </w:rPr>
        <w:t>otros</w:t>
      </w:r>
      <w:r w:rsidR="00E45D64" w:rsidRPr="00921A7D">
        <w:rPr>
          <w:rFonts w:ascii="Arial" w:hAnsi="Arial" w:cs="Arial"/>
          <w:color w:val="000000"/>
        </w:rPr>
        <w:t xml:space="preserve"> que se</w:t>
      </w:r>
      <w:r w:rsidRPr="00921A7D">
        <w:rPr>
          <w:rFonts w:ascii="Arial" w:hAnsi="Arial" w:cs="Arial"/>
          <w:color w:val="000000"/>
        </w:rPr>
        <w:t xml:space="preserve"> han dado</w:t>
      </w:r>
      <w:r w:rsidR="00E45D64" w:rsidRPr="00921A7D">
        <w:rPr>
          <w:rFonts w:ascii="Arial" w:hAnsi="Arial" w:cs="Arial"/>
          <w:color w:val="000000"/>
        </w:rPr>
        <w:t xml:space="preserve"> a conocer en </w:t>
      </w:r>
      <w:r w:rsidRPr="00921A7D">
        <w:rPr>
          <w:rFonts w:ascii="Arial" w:hAnsi="Arial" w:cs="Arial"/>
          <w:color w:val="000000"/>
        </w:rPr>
        <w:t xml:space="preserve">diversos </w:t>
      </w:r>
      <w:r w:rsidR="00E45D64" w:rsidRPr="00921A7D">
        <w:rPr>
          <w:rFonts w:ascii="Arial" w:hAnsi="Arial" w:cs="Arial"/>
          <w:color w:val="000000"/>
        </w:rPr>
        <w:t>medios de</w:t>
      </w:r>
      <w:r w:rsidRPr="00921A7D">
        <w:rPr>
          <w:rFonts w:ascii="Arial" w:hAnsi="Arial" w:cs="Arial"/>
          <w:color w:val="000000"/>
        </w:rPr>
        <w:t xml:space="preserve"> </w:t>
      </w:r>
      <w:r w:rsidR="00E45D64" w:rsidRPr="00921A7D">
        <w:rPr>
          <w:rFonts w:ascii="Arial" w:hAnsi="Arial" w:cs="Arial"/>
          <w:color w:val="000000"/>
        </w:rPr>
        <w:t xml:space="preserve">comunicación en </w:t>
      </w:r>
      <w:r w:rsidRPr="00921A7D">
        <w:rPr>
          <w:rFonts w:ascii="Arial" w:hAnsi="Arial" w:cs="Arial"/>
          <w:color w:val="000000"/>
        </w:rPr>
        <w:t>l</w:t>
      </w:r>
      <w:r w:rsidR="00E45D64" w:rsidRPr="00921A7D">
        <w:rPr>
          <w:rFonts w:ascii="Arial" w:hAnsi="Arial" w:cs="Arial"/>
          <w:color w:val="000000"/>
        </w:rPr>
        <w:t>os que las víctimas del delito han reaccionado para proteger su</w:t>
      </w:r>
      <w:r w:rsidRPr="00921A7D">
        <w:rPr>
          <w:rFonts w:ascii="Arial" w:hAnsi="Arial" w:cs="Arial"/>
          <w:color w:val="000000"/>
        </w:rPr>
        <w:t xml:space="preserve"> </w:t>
      </w:r>
      <w:r w:rsidR="00E45D64" w:rsidRPr="00921A7D">
        <w:rPr>
          <w:rFonts w:ascii="Arial" w:hAnsi="Arial" w:cs="Arial"/>
          <w:color w:val="000000"/>
        </w:rPr>
        <w:t xml:space="preserve">integridad física, su familia, su libertad, su patrimonio, su vida, entre otros </w:t>
      </w:r>
      <w:proofErr w:type="gramStart"/>
      <w:r w:rsidR="00E45D64" w:rsidRPr="00921A7D">
        <w:rPr>
          <w:rFonts w:ascii="Arial" w:hAnsi="Arial" w:cs="Arial"/>
          <w:color w:val="000000"/>
        </w:rPr>
        <w:t>bienes</w:t>
      </w:r>
      <w:r w:rsidRPr="00921A7D">
        <w:rPr>
          <w:rFonts w:ascii="Arial" w:hAnsi="Arial" w:cs="Arial"/>
          <w:color w:val="000000"/>
        </w:rPr>
        <w:t xml:space="preserve">  </w:t>
      </w:r>
      <w:r w:rsidR="00E45D64" w:rsidRPr="00921A7D">
        <w:rPr>
          <w:rFonts w:ascii="Arial" w:hAnsi="Arial" w:cs="Arial"/>
          <w:color w:val="000000"/>
        </w:rPr>
        <w:t>jurídicos</w:t>
      </w:r>
      <w:proofErr w:type="gramEnd"/>
      <w:r w:rsidR="00E45D64" w:rsidRPr="00921A7D">
        <w:rPr>
          <w:rFonts w:ascii="Arial" w:hAnsi="Arial" w:cs="Arial"/>
          <w:color w:val="000000"/>
        </w:rPr>
        <w:t xml:space="preserve">, causando con ello una lesión </w:t>
      </w:r>
      <w:r w:rsidR="00E45D64" w:rsidRPr="00921A7D">
        <w:rPr>
          <w:rFonts w:ascii="Arial" w:hAnsi="Arial" w:cs="Arial"/>
          <w:color w:val="000000"/>
        </w:rPr>
        <w:lastRenderedPageBreak/>
        <w:t>y hasta la pérdida de la vida de su agresor.</w:t>
      </w:r>
      <w:r w:rsidR="00E45D64" w:rsidRPr="00921A7D">
        <w:rPr>
          <w:rFonts w:ascii="Arial" w:hAnsi="Arial" w:cs="Arial"/>
          <w:color w:val="000000"/>
        </w:rPr>
        <w:cr/>
      </w:r>
    </w:p>
    <w:p w14:paraId="79BA2FDD" w14:textId="66E4286F" w:rsidR="00313EC5" w:rsidRPr="00921A7D" w:rsidRDefault="00313EC5" w:rsidP="00313EC5">
      <w:pPr>
        <w:autoSpaceDE w:val="0"/>
        <w:autoSpaceDN w:val="0"/>
        <w:adjustRightInd w:val="0"/>
        <w:spacing w:line="276" w:lineRule="auto"/>
        <w:ind w:firstLine="708"/>
        <w:jc w:val="both"/>
        <w:rPr>
          <w:rFonts w:ascii="Arial" w:hAnsi="Arial" w:cs="Arial"/>
          <w:color w:val="000000"/>
        </w:rPr>
      </w:pPr>
      <w:r w:rsidRPr="00921A7D">
        <w:rPr>
          <w:rFonts w:ascii="Arial" w:hAnsi="Arial" w:cs="Arial"/>
          <w:color w:val="000000"/>
        </w:rPr>
        <w:t>Ejemplo de ello, es el caso de la chihuahuense María Guadalupe de 19 años de edad, quien en el 2015 estaba privada de su libertad y fue atacada a golpes por su pareja, quien armado y bajo el influjo de alcohol y drogas, la amenazó con ultrajarla y asesinarla. En el forcejeo un arma se disparó y la pareja de María cayó herido, ella llamó a los servicios de emergencia para pedir auxilio y en el camino al hospital su pareja falleció. A ella se le acusó y sentenció por el delito de "homicidio en riña con carácter de provocado". El hecho causó indignación pública y fue llevado a instancias internacionales como el Comité para la Eliminación de la Discriminación contra la Mujer (CEDAW).</w:t>
      </w:r>
      <w:r w:rsidRPr="00921A7D">
        <w:rPr>
          <w:rStyle w:val="Refdenotaalpie"/>
          <w:rFonts w:ascii="Arial" w:hAnsi="Arial" w:cs="Arial"/>
          <w:color w:val="000000"/>
        </w:rPr>
        <w:footnoteReference w:id="1"/>
      </w:r>
    </w:p>
    <w:p w14:paraId="511ED47D" w14:textId="3461E5D8" w:rsidR="00313EC5" w:rsidRPr="00921A7D" w:rsidRDefault="00313EC5" w:rsidP="00313EC5">
      <w:pPr>
        <w:autoSpaceDE w:val="0"/>
        <w:autoSpaceDN w:val="0"/>
        <w:adjustRightInd w:val="0"/>
        <w:spacing w:line="276" w:lineRule="auto"/>
        <w:ind w:firstLine="708"/>
        <w:jc w:val="both"/>
        <w:rPr>
          <w:rFonts w:ascii="Arial" w:hAnsi="Arial" w:cs="Arial"/>
          <w:color w:val="000000"/>
        </w:rPr>
      </w:pPr>
    </w:p>
    <w:p w14:paraId="636CA36D" w14:textId="1C85F60F" w:rsidR="00313EC5" w:rsidRPr="00921A7D" w:rsidRDefault="00313EC5" w:rsidP="00313EC5">
      <w:pPr>
        <w:autoSpaceDE w:val="0"/>
        <w:autoSpaceDN w:val="0"/>
        <w:adjustRightInd w:val="0"/>
        <w:spacing w:line="276" w:lineRule="auto"/>
        <w:ind w:firstLine="708"/>
        <w:jc w:val="both"/>
        <w:rPr>
          <w:rFonts w:ascii="Arial" w:hAnsi="Arial" w:cs="Arial"/>
          <w:color w:val="000000"/>
        </w:rPr>
      </w:pPr>
      <w:r w:rsidRPr="00921A7D">
        <w:rPr>
          <w:rFonts w:ascii="Arial" w:hAnsi="Arial" w:cs="Arial"/>
          <w:color w:val="000000"/>
        </w:rPr>
        <w:t>De igual forma le ocurrió</w:t>
      </w:r>
      <w:r w:rsidR="00951543" w:rsidRPr="00921A7D">
        <w:rPr>
          <w:rFonts w:ascii="Arial" w:hAnsi="Arial" w:cs="Arial"/>
          <w:color w:val="000000"/>
        </w:rPr>
        <w:t xml:space="preserve"> en la Ciudad de México</w:t>
      </w:r>
      <w:r w:rsidRPr="00921A7D">
        <w:rPr>
          <w:rFonts w:ascii="Arial" w:hAnsi="Arial" w:cs="Arial"/>
          <w:color w:val="000000"/>
        </w:rPr>
        <w:t xml:space="preserve"> a Itzel, una joven de 15 años quien al ser interceptada fue víctima de violación a la vista de otras personas en el 2017. Después de haber sido abusada sexualmente, el violador amenazó con matarla con un cuchillo que tenía en la mano, pero tras un intenso forcejeo con la víctima que trataba de defenderse, esta le enterró el cuchillo al violador. Los policías que finalmente acudieron al lugar se llevaron al individuo, quien dos días después falleció en un hospital. Como resultado del deceso del agresor, la PGJ abrió una investigación contra Itzel por homicidio. Tras una fuerte presión social, la Procuraduría determinó que Itzel quedaba libre de toda responsabilidad, debido a que actuó en legítima defensa.</w:t>
      </w:r>
      <w:r w:rsidR="00951543" w:rsidRPr="00921A7D">
        <w:rPr>
          <w:rStyle w:val="Refdenotaalpie"/>
          <w:rFonts w:ascii="Arial" w:hAnsi="Arial" w:cs="Arial"/>
          <w:color w:val="000000"/>
        </w:rPr>
        <w:footnoteReference w:id="2"/>
      </w:r>
    </w:p>
    <w:p w14:paraId="7F9E7001" w14:textId="77777777" w:rsidR="00313EC5" w:rsidRPr="00921A7D" w:rsidRDefault="00313EC5" w:rsidP="00313EC5">
      <w:pPr>
        <w:autoSpaceDE w:val="0"/>
        <w:autoSpaceDN w:val="0"/>
        <w:adjustRightInd w:val="0"/>
        <w:spacing w:line="276" w:lineRule="auto"/>
        <w:jc w:val="both"/>
        <w:rPr>
          <w:rFonts w:ascii="Arial" w:hAnsi="Arial" w:cs="Arial"/>
          <w:color w:val="000000"/>
        </w:rPr>
      </w:pPr>
    </w:p>
    <w:p w14:paraId="5D617E90" w14:textId="7B82963E" w:rsidR="002E3F89" w:rsidRPr="00921A7D" w:rsidRDefault="00951543" w:rsidP="00921A7D">
      <w:pPr>
        <w:autoSpaceDE w:val="0"/>
        <w:autoSpaceDN w:val="0"/>
        <w:adjustRightInd w:val="0"/>
        <w:spacing w:line="276" w:lineRule="auto"/>
        <w:ind w:firstLine="708"/>
        <w:jc w:val="both"/>
        <w:rPr>
          <w:rFonts w:ascii="Arial" w:hAnsi="Arial" w:cs="Arial"/>
          <w:color w:val="000000"/>
        </w:rPr>
      </w:pPr>
      <w:r w:rsidRPr="00921A7D">
        <w:rPr>
          <w:rFonts w:ascii="Arial" w:hAnsi="Arial" w:cs="Arial"/>
          <w:color w:val="000000"/>
        </w:rPr>
        <w:t>Estos son solo algunos casos que demuestran el aumento de la violencia en contra de mujeres en el país, cada vez se detectan más casos de legítima defensa en donde mujeres luchan físicamente por defender su vida y como consecuencia, el victimario muere.</w:t>
      </w:r>
      <w:r w:rsidRPr="00921A7D">
        <w:rPr>
          <w:rFonts w:ascii="Arial" w:hAnsi="Arial" w:cs="Arial"/>
          <w:color w:val="000000"/>
        </w:rPr>
        <w:cr/>
      </w:r>
    </w:p>
    <w:p w14:paraId="54B0F9A3" w14:textId="18E7B220" w:rsidR="0042319A" w:rsidRPr="00921A7D" w:rsidRDefault="0042319A" w:rsidP="0042319A">
      <w:pPr>
        <w:autoSpaceDE w:val="0"/>
        <w:autoSpaceDN w:val="0"/>
        <w:adjustRightInd w:val="0"/>
        <w:spacing w:line="276" w:lineRule="auto"/>
        <w:ind w:firstLine="708"/>
        <w:jc w:val="both"/>
        <w:rPr>
          <w:rFonts w:ascii="Arial" w:hAnsi="Arial" w:cs="Arial"/>
          <w:color w:val="000000"/>
        </w:rPr>
      </w:pPr>
      <w:r w:rsidRPr="00921A7D">
        <w:rPr>
          <w:rFonts w:ascii="Arial" w:hAnsi="Arial" w:cs="Arial"/>
          <w:color w:val="000000"/>
        </w:rPr>
        <w:t>Sin embargo, al no existir un tratamiento desde el inicio con perspectiva de género se catalogan como homicidios</w:t>
      </w:r>
      <w:r w:rsidR="00B1476C" w:rsidRPr="00921A7D">
        <w:rPr>
          <w:rFonts w:ascii="Arial" w:hAnsi="Arial" w:cs="Arial"/>
          <w:color w:val="000000"/>
        </w:rPr>
        <w:t>,</w:t>
      </w:r>
      <w:r w:rsidRPr="00921A7D">
        <w:rPr>
          <w:rFonts w:ascii="Arial" w:hAnsi="Arial" w:cs="Arial"/>
          <w:color w:val="000000"/>
        </w:rPr>
        <w:t xml:space="preserve"> y las mujeres terminan purgando una condena en prisión, cuando en muchos casos se trata de legítima defensa.</w:t>
      </w:r>
    </w:p>
    <w:p w14:paraId="56261AB4" w14:textId="77777777" w:rsidR="0042319A" w:rsidRPr="00921A7D" w:rsidRDefault="0042319A" w:rsidP="0042319A">
      <w:pPr>
        <w:autoSpaceDE w:val="0"/>
        <w:autoSpaceDN w:val="0"/>
        <w:adjustRightInd w:val="0"/>
        <w:spacing w:line="276" w:lineRule="auto"/>
        <w:jc w:val="both"/>
        <w:rPr>
          <w:rFonts w:ascii="Arial" w:hAnsi="Arial" w:cs="Arial"/>
          <w:color w:val="000000"/>
        </w:rPr>
      </w:pPr>
    </w:p>
    <w:p w14:paraId="2F13D745" w14:textId="1AF3772E" w:rsidR="0042319A" w:rsidRPr="00921A7D" w:rsidRDefault="0042319A" w:rsidP="0042319A">
      <w:pPr>
        <w:autoSpaceDE w:val="0"/>
        <w:autoSpaceDN w:val="0"/>
        <w:adjustRightInd w:val="0"/>
        <w:spacing w:line="276" w:lineRule="auto"/>
        <w:ind w:firstLine="708"/>
        <w:jc w:val="both"/>
        <w:rPr>
          <w:rFonts w:ascii="Arial" w:hAnsi="Arial" w:cs="Arial"/>
          <w:color w:val="000000"/>
        </w:rPr>
      </w:pPr>
      <w:r w:rsidRPr="00921A7D">
        <w:rPr>
          <w:rFonts w:ascii="Arial" w:hAnsi="Arial" w:cs="Arial"/>
          <w:color w:val="000000"/>
        </w:rPr>
        <w:t>Ante las cifras que aún padecemos en México de feminicidios y violencia de género, resulta apremiante preguntarnos porqué, ante casos como estos que debieron presumirse como legítima defensa por parte de las víctimas de forma Inmediata, la tendencia de la autoridad es imputar conducta criminal.</w:t>
      </w:r>
    </w:p>
    <w:p w14:paraId="2CF718EF" w14:textId="77777777" w:rsidR="0042319A" w:rsidRPr="00921A7D" w:rsidRDefault="0042319A" w:rsidP="0042319A">
      <w:pPr>
        <w:autoSpaceDE w:val="0"/>
        <w:autoSpaceDN w:val="0"/>
        <w:adjustRightInd w:val="0"/>
        <w:spacing w:line="276" w:lineRule="auto"/>
        <w:jc w:val="both"/>
        <w:rPr>
          <w:rFonts w:ascii="Arial" w:hAnsi="Arial" w:cs="Arial"/>
          <w:color w:val="000000"/>
        </w:rPr>
      </w:pPr>
    </w:p>
    <w:p w14:paraId="3895B3E6" w14:textId="0D450C57" w:rsidR="0042319A" w:rsidRPr="00921A7D" w:rsidRDefault="0042319A" w:rsidP="0042319A">
      <w:pPr>
        <w:autoSpaceDE w:val="0"/>
        <w:autoSpaceDN w:val="0"/>
        <w:adjustRightInd w:val="0"/>
        <w:spacing w:line="276" w:lineRule="auto"/>
        <w:ind w:firstLine="708"/>
        <w:jc w:val="both"/>
        <w:rPr>
          <w:rFonts w:ascii="Arial" w:hAnsi="Arial" w:cs="Arial"/>
          <w:i/>
          <w:iCs/>
          <w:color w:val="000000"/>
        </w:rPr>
      </w:pPr>
      <w:r w:rsidRPr="00921A7D">
        <w:rPr>
          <w:rFonts w:ascii="Arial" w:hAnsi="Arial" w:cs="Arial"/>
          <w:color w:val="000000"/>
        </w:rPr>
        <w:t xml:space="preserve">De no haberse dado la atención pública en la mayoría de los casos, es probable que estas mujeres siguieran enfrentando un sistema que al parecer desconoce el principio fundamental de la legítima defensa: </w:t>
      </w:r>
      <w:r w:rsidRPr="00921A7D">
        <w:rPr>
          <w:rFonts w:ascii="Arial" w:hAnsi="Arial" w:cs="Arial"/>
          <w:i/>
          <w:iCs/>
          <w:color w:val="000000"/>
        </w:rPr>
        <w:t>"nadie puede ser obligado a soportar lo injusto".</w:t>
      </w:r>
    </w:p>
    <w:p w14:paraId="52504CB1" w14:textId="77777777" w:rsidR="0042319A" w:rsidRPr="00921A7D" w:rsidRDefault="0042319A" w:rsidP="0042319A">
      <w:pPr>
        <w:autoSpaceDE w:val="0"/>
        <w:autoSpaceDN w:val="0"/>
        <w:adjustRightInd w:val="0"/>
        <w:spacing w:line="276" w:lineRule="auto"/>
        <w:jc w:val="both"/>
        <w:rPr>
          <w:rFonts w:ascii="Arial" w:hAnsi="Arial" w:cs="Arial"/>
          <w:color w:val="000000"/>
        </w:rPr>
      </w:pPr>
    </w:p>
    <w:p w14:paraId="5D6D6738" w14:textId="1E844C90" w:rsidR="006E6B75" w:rsidRPr="00921A7D" w:rsidRDefault="0042319A" w:rsidP="0042319A">
      <w:pPr>
        <w:autoSpaceDE w:val="0"/>
        <w:autoSpaceDN w:val="0"/>
        <w:adjustRightInd w:val="0"/>
        <w:spacing w:line="276" w:lineRule="auto"/>
        <w:ind w:firstLine="708"/>
        <w:jc w:val="both"/>
        <w:rPr>
          <w:rFonts w:ascii="Arial" w:hAnsi="Arial" w:cs="Arial"/>
          <w:color w:val="000000"/>
        </w:rPr>
      </w:pPr>
      <w:r w:rsidRPr="00921A7D">
        <w:rPr>
          <w:rFonts w:ascii="Arial" w:hAnsi="Arial" w:cs="Arial"/>
          <w:color w:val="000000"/>
        </w:rPr>
        <w:t>Por lo tanto, es necesario que las investigaciones y las personas juzgadoras actúen con perspectiva de género.</w:t>
      </w:r>
    </w:p>
    <w:p w14:paraId="5479EB94" w14:textId="644F809A" w:rsidR="0042319A" w:rsidRPr="00921A7D" w:rsidRDefault="0042319A" w:rsidP="0042319A">
      <w:pPr>
        <w:autoSpaceDE w:val="0"/>
        <w:autoSpaceDN w:val="0"/>
        <w:adjustRightInd w:val="0"/>
        <w:spacing w:line="276" w:lineRule="auto"/>
        <w:ind w:firstLine="708"/>
        <w:jc w:val="both"/>
        <w:rPr>
          <w:rFonts w:ascii="Arial" w:hAnsi="Arial" w:cs="Arial"/>
          <w:color w:val="000000"/>
        </w:rPr>
      </w:pPr>
    </w:p>
    <w:p w14:paraId="13756F8B" w14:textId="3CA5DB3F" w:rsidR="0042319A" w:rsidRPr="00921A7D" w:rsidRDefault="0042319A" w:rsidP="0042319A">
      <w:pPr>
        <w:autoSpaceDE w:val="0"/>
        <w:autoSpaceDN w:val="0"/>
        <w:adjustRightInd w:val="0"/>
        <w:spacing w:line="276" w:lineRule="auto"/>
        <w:ind w:firstLine="708"/>
        <w:jc w:val="both"/>
        <w:rPr>
          <w:rFonts w:ascii="Arial" w:hAnsi="Arial" w:cs="Arial"/>
          <w:i/>
          <w:iCs/>
          <w:color w:val="000000"/>
        </w:rPr>
      </w:pPr>
      <w:r w:rsidRPr="00921A7D">
        <w:rPr>
          <w:rFonts w:ascii="Arial" w:hAnsi="Arial" w:cs="Arial"/>
          <w:color w:val="000000"/>
        </w:rPr>
        <w:t xml:space="preserve">En este sentido, la </w:t>
      </w:r>
      <w:r w:rsidRPr="00921A7D">
        <w:rPr>
          <w:rFonts w:ascii="Arial" w:hAnsi="Arial" w:cs="Arial"/>
          <w:b/>
          <w:bCs/>
          <w:color w:val="000000"/>
        </w:rPr>
        <w:t>Convención Interamericana para Prevenir, Sancionar y Erradicar la Violencia contra la Mujer</w:t>
      </w:r>
      <w:r w:rsidRPr="00921A7D">
        <w:rPr>
          <w:rFonts w:ascii="Arial" w:hAnsi="Arial" w:cs="Arial"/>
          <w:color w:val="000000"/>
        </w:rPr>
        <w:t xml:space="preserve">, conocida también como la </w:t>
      </w:r>
      <w:r w:rsidRPr="00921A7D">
        <w:rPr>
          <w:rFonts w:ascii="Arial" w:hAnsi="Arial" w:cs="Arial"/>
          <w:b/>
          <w:bCs/>
          <w:color w:val="000000"/>
        </w:rPr>
        <w:t>“Convención Belém do Pará”</w:t>
      </w:r>
      <w:r w:rsidRPr="00921A7D">
        <w:rPr>
          <w:rFonts w:ascii="Arial" w:hAnsi="Arial" w:cs="Arial"/>
          <w:color w:val="000000"/>
        </w:rPr>
        <w:t>,</w:t>
      </w:r>
      <w:r w:rsidRPr="00921A7D">
        <w:rPr>
          <w:rStyle w:val="Refdenotaalpie"/>
          <w:rFonts w:ascii="Arial" w:hAnsi="Arial" w:cs="Arial"/>
          <w:color w:val="000000"/>
        </w:rPr>
        <w:footnoteReference w:id="3"/>
      </w:r>
      <w:r w:rsidRPr="00921A7D">
        <w:rPr>
          <w:rFonts w:ascii="Arial" w:hAnsi="Arial" w:cs="Arial"/>
          <w:color w:val="000000"/>
        </w:rPr>
        <w:t xml:space="preserve"> menciona en su artículo 4, el derecho de las mujeres a que se respete su vida, su integridad física, psíquica y moral, así como su derecho a la “</w:t>
      </w:r>
      <w:r w:rsidRPr="00921A7D">
        <w:rPr>
          <w:rFonts w:ascii="Arial" w:hAnsi="Arial" w:cs="Arial"/>
          <w:i/>
          <w:iCs/>
          <w:color w:val="000000"/>
        </w:rPr>
        <w:t>igualdad de protección ante la ley y de la ley”.</w:t>
      </w:r>
    </w:p>
    <w:p w14:paraId="59058D1A" w14:textId="4A0710E4" w:rsidR="0042319A" w:rsidRPr="00921A7D" w:rsidRDefault="0042319A" w:rsidP="0042319A">
      <w:pPr>
        <w:autoSpaceDE w:val="0"/>
        <w:autoSpaceDN w:val="0"/>
        <w:adjustRightInd w:val="0"/>
        <w:spacing w:line="276" w:lineRule="auto"/>
        <w:ind w:firstLine="708"/>
        <w:jc w:val="both"/>
        <w:rPr>
          <w:rFonts w:ascii="Arial" w:hAnsi="Arial" w:cs="Arial"/>
          <w:color w:val="000000"/>
        </w:rPr>
      </w:pPr>
      <w:r w:rsidRPr="00921A7D">
        <w:rPr>
          <w:rFonts w:ascii="Arial" w:hAnsi="Arial" w:cs="Arial"/>
          <w:color w:val="000000"/>
        </w:rPr>
        <w:t>En esta misma Convención se menciona la obligación de los Estados Parte de tomar todas las medidas necesarias para modificar prácticas jurídicas o consuetudinarias que respalden la persistencia o tolerancia de la violencia contra la mujer, así como la obligación de debida diligencia para prevenir, investigar y sancionar la violencia contra las mujeres.</w:t>
      </w:r>
    </w:p>
    <w:p w14:paraId="0C1FE8FA" w14:textId="05A66064" w:rsidR="0042319A" w:rsidRPr="00921A7D" w:rsidRDefault="0042319A" w:rsidP="00BE491F">
      <w:pPr>
        <w:autoSpaceDE w:val="0"/>
        <w:autoSpaceDN w:val="0"/>
        <w:adjustRightInd w:val="0"/>
        <w:spacing w:line="276" w:lineRule="auto"/>
        <w:jc w:val="both"/>
        <w:rPr>
          <w:rFonts w:ascii="Arial" w:hAnsi="Arial" w:cs="Arial"/>
          <w:color w:val="000000"/>
        </w:rPr>
      </w:pPr>
    </w:p>
    <w:p w14:paraId="351B2070" w14:textId="497E181D" w:rsidR="00BE491F" w:rsidRPr="00921A7D" w:rsidRDefault="0042319A" w:rsidP="00BE491F">
      <w:pPr>
        <w:autoSpaceDE w:val="0"/>
        <w:autoSpaceDN w:val="0"/>
        <w:adjustRightInd w:val="0"/>
        <w:spacing w:line="276" w:lineRule="auto"/>
        <w:ind w:firstLine="708"/>
        <w:jc w:val="both"/>
        <w:rPr>
          <w:rFonts w:ascii="Arial" w:hAnsi="Arial" w:cs="Arial"/>
          <w:color w:val="000000"/>
        </w:rPr>
      </w:pPr>
      <w:r w:rsidRPr="00921A7D">
        <w:rPr>
          <w:rFonts w:ascii="Arial" w:hAnsi="Arial" w:cs="Arial"/>
          <w:color w:val="000000"/>
        </w:rPr>
        <w:t xml:space="preserve">El </w:t>
      </w:r>
      <w:r w:rsidRPr="00921A7D">
        <w:rPr>
          <w:rFonts w:ascii="Arial" w:hAnsi="Arial" w:cs="Arial"/>
          <w:b/>
          <w:bCs/>
          <w:color w:val="000000"/>
        </w:rPr>
        <w:t>Mecanismo de Seguimiento de la Convención de Belém do Pará</w:t>
      </w:r>
      <w:r w:rsidRPr="00921A7D">
        <w:rPr>
          <w:rFonts w:ascii="Arial" w:hAnsi="Arial" w:cs="Arial"/>
          <w:color w:val="000000"/>
        </w:rPr>
        <w:t>, sustenta que, en los casos en los que mujeres víctimas de violencia argumenten legítima</w:t>
      </w:r>
      <w:r w:rsidR="00BE491F" w:rsidRPr="00921A7D">
        <w:rPr>
          <w:rFonts w:ascii="Arial" w:hAnsi="Arial" w:cs="Arial"/>
          <w:color w:val="000000"/>
        </w:rPr>
        <w:t xml:space="preserve"> </w:t>
      </w:r>
      <w:r w:rsidRPr="00921A7D">
        <w:rPr>
          <w:rFonts w:ascii="Arial" w:hAnsi="Arial" w:cs="Arial"/>
          <w:color w:val="000000"/>
        </w:rPr>
        <w:t>defensa, los tribunales deben asumir la perspectiva de género en su análisis de las alternativas</w:t>
      </w:r>
      <w:r w:rsidR="00BE491F" w:rsidRPr="00921A7D">
        <w:rPr>
          <w:rFonts w:ascii="Arial" w:hAnsi="Arial" w:cs="Arial"/>
          <w:color w:val="000000"/>
        </w:rPr>
        <w:t xml:space="preserve"> </w:t>
      </w:r>
      <w:r w:rsidRPr="00921A7D">
        <w:rPr>
          <w:rFonts w:ascii="Arial" w:hAnsi="Arial" w:cs="Arial"/>
          <w:color w:val="000000"/>
        </w:rPr>
        <w:t>con las que contaban las mujeres, lo que implica considerar el contexto en el cual se da la</w:t>
      </w:r>
      <w:r w:rsidR="00BE491F" w:rsidRPr="00921A7D">
        <w:rPr>
          <w:rFonts w:ascii="Arial" w:hAnsi="Arial" w:cs="Arial"/>
          <w:color w:val="000000"/>
        </w:rPr>
        <w:t xml:space="preserve"> </w:t>
      </w:r>
      <w:r w:rsidRPr="00921A7D">
        <w:rPr>
          <w:rFonts w:ascii="Arial" w:hAnsi="Arial" w:cs="Arial"/>
          <w:color w:val="000000"/>
        </w:rPr>
        <w:t>agresión y la respuesta, así como la desproporción física (en muchas ocasiones las mujeres</w:t>
      </w:r>
      <w:r w:rsidR="00BE491F" w:rsidRPr="00921A7D">
        <w:rPr>
          <w:rFonts w:ascii="Arial" w:hAnsi="Arial" w:cs="Arial"/>
          <w:color w:val="000000"/>
        </w:rPr>
        <w:t xml:space="preserve"> </w:t>
      </w:r>
      <w:r w:rsidRPr="00921A7D">
        <w:rPr>
          <w:rFonts w:ascii="Arial" w:hAnsi="Arial" w:cs="Arial"/>
          <w:color w:val="000000"/>
        </w:rPr>
        <w:t xml:space="preserve">tienen una menor contextura física que su agresores); la socialización de género, así como </w:t>
      </w:r>
      <w:r w:rsidRPr="00921A7D">
        <w:rPr>
          <w:rFonts w:ascii="Arial" w:hAnsi="Arial" w:cs="Arial"/>
          <w:color w:val="000000"/>
        </w:rPr>
        <w:lastRenderedPageBreak/>
        <w:t>la</w:t>
      </w:r>
      <w:r w:rsidR="00BE491F" w:rsidRPr="00921A7D">
        <w:rPr>
          <w:rFonts w:ascii="Arial" w:hAnsi="Arial" w:cs="Arial"/>
          <w:color w:val="000000"/>
        </w:rPr>
        <w:t xml:space="preserve"> </w:t>
      </w:r>
      <w:r w:rsidRPr="00921A7D">
        <w:rPr>
          <w:rFonts w:ascii="Arial" w:hAnsi="Arial" w:cs="Arial"/>
          <w:color w:val="000000"/>
        </w:rPr>
        <w:t>dinámica propia del ciclo de violencia, donde las mujeres se encuentran desprovistas de</w:t>
      </w:r>
      <w:r w:rsidR="00BE491F" w:rsidRPr="00921A7D">
        <w:rPr>
          <w:rFonts w:ascii="Arial" w:hAnsi="Arial" w:cs="Arial"/>
          <w:color w:val="000000"/>
        </w:rPr>
        <w:t xml:space="preserve"> herramientas emocionales para reaccionar de acuerdo al estándar masculino propuesto por el derecho penal tradicional.</w:t>
      </w:r>
      <w:r w:rsidR="00BE491F" w:rsidRPr="00921A7D">
        <w:rPr>
          <w:rStyle w:val="Refdenotaalpie"/>
          <w:rFonts w:ascii="Arial" w:hAnsi="Arial" w:cs="Arial"/>
          <w:color w:val="000000"/>
        </w:rPr>
        <w:footnoteReference w:id="4"/>
      </w:r>
    </w:p>
    <w:p w14:paraId="6CB82B12" w14:textId="5DAFD983" w:rsidR="00BE491F" w:rsidRPr="00921A7D" w:rsidRDefault="00BE491F" w:rsidP="00BE491F">
      <w:pPr>
        <w:autoSpaceDE w:val="0"/>
        <w:autoSpaceDN w:val="0"/>
        <w:adjustRightInd w:val="0"/>
        <w:spacing w:line="276" w:lineRule="auto"/>
        <w:ind w:firstLine="708"/>
        <w:jc w:val="both"/>
        <w:rPr>
          <w:rFonts w:ascii="Arial" w:hAnsi="Arial" w:cs="Arial"/>
          <w:color w:val="000000"/>
        </w:rPr>
      </w:pPr>
    </w:p>
    <w:p w14:paraId="1588E72E" w14:textId="1D451B30" w:rsidR="00BE491F" w:rsidRPr="00921A7D" w:rsidRDefault="00BE491F" w:rsidP="00BE491F">
      <w:pPr>
        <w:autoSpaceDE w:val="0"/>
        <w:autoSpaceDN w:val="0"/>
        <w:adjustRightInd w:val="0"/>
        <w:spacing w:line="276" w:lineRule="auto"/>
        <w:ind w:firstLine="708"/>
        <w:jc w:val="both"/>
        <w:rPr>
          <w:rFonts w:ascii="Arial" w:hAnsi="Arial" w:cs="Arial"/>
          <w:color w:val="000000"/>
        </w:rPr>
      </w:pPr>
      <w:r w:rsidRPr="00921A7D">
        <w:rPr>
          <w:rFonts w:ascii="Arial" w:hAnsi="Arial" w:cs="Arial"/>
          <w:color w:val="000000"/>
        </w:rPr>
        <w:t>Asimismo, menciona que la necesidad racional del medio empleado no requiere la proporcionalidad entre la índole de la agresión y la respuesta defensiva, pues existe una relación entre la proporcionalidad y la continuidad de la violencia contra las mujeres en dichas circunstancias.</w:t>
      </w:r>
    </w:p>
    <w:p w14:paraId="0C1976AC" w14:textId="77777777" w:rsidR="00BE491F" w:rsidRPr="00921A7D" w:rsidRDefault="00BE491F" w:rsidP="00BE491F">
      <w:pPr>
        <w:autoSpaceDE w:val="0"/>
        <w:autoSpaceDN w:val="0"/>
        <w:adjustRightInd w:val="0"/>
        <w:spacing w:line="276" w:lineRule="auto"/>
        <w:ind w:firstLine="708"/>
        <w:jc w:val="both"/>
        <w:rPr>
          <w:rFonts w:ascii="Arial" w:hAnsi="Arial" w:cs="Arial"/>
          <w:color w:val="000000"/>
        </w:rPr>
      </w:pPr>
    </w:p>
    <w:p w14:paraId="19F3DE82" w14:textId="12925854" w:rsidR="0042319A" w:rsidRPr="00921A7D" w:rsidRDefault="00BE491F" w:rsidP="00BE491F">
      <w:pPr>
        <w:autoSpaceDE w:val="0"/>
        <w:autoSpaceDN w:val="0"/>
        <w:adjustRightInd w:val="0"/>
        <w:spacing w:line="276" w:lineRule="auto"/>
        <w:ind w:firstLine="708"/>
        <w:jc w:val="both"/>
        <w:rPr>
          <w:rFonts w:ascii="Arial" w:hAnsi="Arial" w:cs="Arial"/>
          <w:color w:val="000000"/>
        </w:rPr>
      </w:pPr>
      <w:r w:rsidRPr="00921A7D">
        <w:rPr>
          <w:rFonts w:ascii="Arial" w:hAnsi="Arial" w:cs="Arial"/>
          <w:color w:val="000000"/>
        </w:rPr>
        <w:t>La aparente “</w:t>
      </w:r>
      <w:r w:rsidRPr="00921A7D">
        <w:rPr>
          <w:rFonts w:ascii="Arial" w:hAnsi="Arial" w:cs="Arial"/>
          <w:i/>
          <w:iCs/>
          <w:color w:val="000000"/>
        </w:rPr>
        <w:t>desproporción</w:t>
      </w:r>
      <w:r w:rsidRPr="00921A7D">
        <w:rPr>
          <w:rFonts w:ascii="Arial" w:hAnsi="Arial" w:cs="Arial"/>
          <w:color w:val="000000"/>
        </w:rPr>
        <w:t>” que ocurre en algunos de estos casos, entre la respuesta defensiva y la agresión, puede obedecer al miedo de la mujer a que de no ser eficaz en el medio que usan para defenderse, el agresor puede recuperarse prontamente y descargar toda su ira contra la mujer.</w:t>
      </w:r>
    </w:p>
    <w:p w14:paraId="135343CB" w14:textId="7C5C7BD7" w:rsidR="00BE491F" w:rsidRPr="00921A7D" w:rsidRDefault="00BE491F" w:rsidP="00BE491F">
      <w:pPr>
        <w:autoSpaceDE w:val="0"/>
        <w:autoSpaceDN w:val="0"/>
        <w:adjustRightInd w:val="0"/>
        <w:spacing w:line="276" w:lineRule="auto"/>
        <w:ind w:firstLine="708"/>
        <w:jc w:val="both"/>
        <w:rPr>
          <w:rFonts w:ascii="Arial" w:hAnsi="Arial" w:cs="Arial"/>
          <w:color w:val="000000"/>
        </w:rPr>
      </w:pPr>
    </w:p>
    <w:p w14:paraId="4E527175" w14:textId="5CD24D41" w:rsidR="00BE491F" w:rsidRPr="00921A7D" w:rsidRDefault="00BE491F" w:rsidP="00BE491F">
      <w:pPr>
        <w:autoSpaceDE w:val="0"/>
        <w:autoSpaceDN w:val="0"/>
        <w:adjustRightInd w:val="0"/>
        <w:spacing w:line="276" w:lineRule="auto"/>
        <w:ind w:firstLine="708"/>
        <w:jc w:val="both"/>
        <w:rPr>
          <w:rFonts w:ascii="Arial" w:hAnsi="Arial" w:cs="Arial"/>
          <w:i/>
          <w:iCs/>
          <w:color w:val="000000"/>
        </w:rPr>
      </w:pPr>
      <w:r w:rsidRPr="00921A7D">
        <w:rPr>
          <w:rFonts w:ascii="Arial" w:hAnsi="Arial" w:cs="Arial"/>
          <w:color w:val="000000"/>
        </w:rPr>
        <w:t xml:space="preserve">Así mismo, la </w:t>
      </w:r>
      <w:r w:rsidRPr="00921A7D">
        <w:rPr>
          <w:rFonts w:ascii="Arial" w:hAnsi="Arial" w:cs="Arial"/>
          <w:b/>
          <w:bCs/>
          <w:color w:val="000000"/>
        </w:rPr>
        <w:t>Corte Interamericana de Derechos Humanos</w:t>
      </w:r>
      <w:r w:rsidRPr="00921A7D">
        <w:rPr>
          <w:rFonts w:ascii="Arial" w:hAnsi="Arial" w:cs="Arial"/>
          <w:color w:val="000000"/>
        </w:rPr>
        <w:t xml:space="preserve"> ha delineado la obligación de análisis de pruebas con perspectiva de género y sostiene que </w:t>
      </w:r>
      <w:r w:rsidRPr="00921A7D">
        <w:rPr>
          <w:rFonts w:ascii="Arial" w:hAnsi="Arial" w:cs="Arial"/>
          <w:i/>
          <w:iCs/>
          <w:color w:val="000000"/>
        </w:rPr>
        <w:t xml:space="preserve">“los Estados deben contar con un adecuado marco jurídico de protección, con una aplicación efectiva del mismo y con políticas de prevención y prácticas que permitan actuar de una manera eficaz ante las denuncias de violencia contra la mujer”. </w:t>
      </w:r>
    </w:p>
    <w:p w14:paraId="0AEA90AE" w14:textId="63BD236C" w:rsidR="00BE491F" w:rsidRPr="00921A7D" w:rsidRDefault="00BE491F" w:rsidP="00BE491F">
      <w:pPr>
        <w:autoSpaceDE w:val="0"/>
        <w:autoSpaceDN w:val="0"/>
        <w:adjustRightInd w:val="0"/>
        <w:spacing w:line="276" w:lineRule="auto"/>
        <w:ind w:firstLine="708"/>
        <w:jc w:val="both"/>
        <w:rPr>
          <w:rFonts w:ascii="Arial" w:hAnsi="Arial" w:cs="Arial"/>
          <w:color w:val="000000"/>
        </w:rPr>
      </w:pPr>
    </w:p>
    <w:p w14:paraId="392AC6B4" w14:textId="2BCB6C2B" w:rsidR="00BE491F" w:rsidRPr="00921A7D" w:rsidRDefault="00BE491F" w:rsidP="00BE491F">
      <w:pPr>
        <w:autoSpaceDE w:val="0"/>
        <w:autoSpaceDN w:val="0"/>
        <w:adjustRightInd w:val="0"/>
        <w:spacing w:line="276" w:lineRule="auto"/>
        <w:ind w:firstLine="708"/>
        <w:jc w:val="both"/>
        <w:rPr>
          <w:rFonts w:ascii="Arial" w:hAnsi="Arial" w:cs="Arial"/>
          <w:color w:val="000000"/>
        </w:rPr>
      </w:pPr>
      <w:r w:rsidRPr="00921A7D">
        <w:rPr>
          <w:rFonts w:ascii="Arial" w:hAnsi="Arial" w:cs="Arial"/>
          <w:color w:val="000000"/>
        </w:rPr>
        <w:t xml:space="preserve">En este mismo tenor, la </w:t>
      </w:r>
      <w:r w:rsidRPr="00921A7D">
        <w:rPr>
          <w:rFonts w:ascii="Arial" w:hAnsi="Arial" w:cs="Arial"/>
          <w:b/>
          <w:bCs/>
          <w:color w:val="000000"/>
        </w:rPr>
        <w:t>Suprema Corte de Justicia de la Nación</w:t>
      </w:r>
      <w:r w:rsidRPr="00921A7D">
        <w:rPr>
          <w:rFonts w:ascii="Arial" w:hAnsi="Arial" w:cs="Arial"/>
          <w:color w:val="000000"/>
        </w:rPr>
        <w:t>, ha sido enfática en que las mujeres que sufren violencia doméstica y enfrentan cargos penales por haber agredido a sus victimarios deben ser juzgadas con perspectiva de género de tal modo que:</w:t>
      </w:r>
    </w:p>
    <w:p w14:paraId="360178A0" w14:textId="77777777" w:rsidR="007A392B" w:rsidRPr="00921A7D" w:rsidRDefault="007A392B" w:rsidP="00BE491F">
      <w:pPr>
        <w:autoSpaceDE w:val="0"/>
        <w:autoSpaceDN w:val="0"/>
        <w:adjustRightInd w:val="0"/>
        <w:spacing w:line="276" w:lineRule="auto"/>
        <w:ind w:firstLine="708"/>
        <w:jc w:val="both"/>
        <w:rPr>
          <w:rFonts w:ascii="Arial" w:hAnsi="Arial" w:cs="Arial"/>
          <w:color w:val="000000"/>
        </w:rPr>
      </w:pPr>
    </w:p>
    <w:p w14:paraId="7C90CA02" w14:textId="505509CA" w:rsidR="00BE491F" w:rsidRPr="00921A7D" w:rsidRDefault="00BE491F" w:rsidP="00EC19A5">
      <w:pPr>
        <w:pStyle w:val="Prrafodelista"/>
        <w:numPr>
          <w:ilvl w:val="0"/>
          <w:numId w:val="1"/>
        </w:numPr>
        <w:autoSpaceDE w:val="0"/>
        <w:autoSpaceDN w:val="0"/>
        <w:adjustRightInd w:val="0"/>
        <w:spacing w:line="276" w:lineRule="auto"/>
        <w:ind w:left="1068"/>
        <w:jc w:val="both"/>
        <w:rPr>
          <w:rFonts w:ascii="Arial" w:hAnsi="Arial" w:cs="Arial"/>
          <w:i/>
          <w:iCs/>
          <w:color w:val="000000"/>
          <w:sz w:val="22"/>
          <w:szCs w:val="22"/>
          <w:lang w:val="es-MX"/>
        </w:rPr>
      </w:pPr>
      <w:r w:rsidRPr="00921A7D">
        <w:rPr>
          <w:rFonts w:ascii="Arial" w:hAnsi="Arial" w:cs="Arial"/>
          <w:i/>
          <w:iCs/>
          <w:color w:val="000000"/>
          <w:sz w:val="22"/>
          <w:szCs w:val="22"/>
          <w:lang w:val="es-MX"/>
        </w:rPr>
        <w:t xml:space="preserve">Se identifique si existen situaciones de poder que por cuestiones de género que den cuenta del desequilibrio y de la situación de desventaja en que vivía la quejosa al momento en que ocurrieron los hechos. Es decir, se revele el contexto de violencia que ella enfrentaba, a fin de visualizar claramente la problemática y </w:t>
      </w:r>
      <w:r w:rsidRPr="00921A7D">
        <w:rPr>
          <w:rFonts w:ascii="Arial" w:hAnsi="Arial" w:cs="Arial"/>
          <w:i/>
          <w:iCs/>
          <w:color w:val="000000"/>
          <w:sz w:val="22"/>
          <w:szCs w:val="22"/>
          <w:lang w:val="es-MX"/>
        </w:rPr>
        <w:lastRenderedPageBreak/>
        <w:t>garantizar el derecho de la recurrente al acceso a la justicia, de forma efectiva e igualitaria</w:t>
      </w:r>
      <w:r w:rsidR="007A392B" w:rsidRPr="00921A7D">
        <w:rPr>
          <w:rFonts w:ascii="Arial" w:hAnsi="Arial" w:cs="Arial"/>
          <w:i/>
          <w:iCs/>
          <w:color w:val="000000"/>
          <w:sz w:val="22"/>
          <w:szCs w:val="22"/>
          <w:lang w:val="es-MX"/>
        </w:rPr>
        <w:t>.</w:t>
      </w:r>
    </w:p>
    <w:p w14:paraId="729E202B" w14:textId="77777777" w:rsidR="007A392B" w:rsidRPr="00921A7D" w:rsidRDefault="007A392B" w:rsidP="007A392B">
      <w:pPr>
        <w:autoSpaceDE w:val="0"/>
        <w:autoSpaceDN w:val="0"/>
        <w:adjustRightInd w:val="0"/>
        <w:spacing w:line="276" w:lineRule="auto"/>
        <w:ind w:left="-360" w:firstLine="708"/>
        <w:jc w:val="both"/>
        <w:rPr>
          <w:rFonts w:ascii="Arial" w:hAnsi="Arial" w:cs="Arial"/>
          <w:i/>
          <w:iCs/>
          <w:color w:val="000000"/>
        </w:rPr>
      </w:pPr>
    </w:p>
    <w:p w14:paraId="676EA718" w14:textId="52131EB9" w:rsidR="00BE491F" w:rsidRPr="00921A7D" w:rsidRDefault="00BE491F" w:rsidP="00EC19A5">
      <w:pPr>
        <w:pStyle w:val="Prrafodelista"/>
        <w:numPr>
          <w:ilvl w:val="0"/>
          <w:numId w:val="1"/>
        </w:numPr>
        <w:autoSpaceDE w:val="0"/>
        <w:autoSpaceDN w:val="0"/>
        <w:adjustRightInd w:val="0"/>
        <w:spacing w:line="276" w:lineRule="auto"/>
        <w:ind w:left="1068"/>
        <w:jc w:val="both"/>
        <w:rPr>
          <w:rFonts w:ascii="Arial" w:hAnsi="Arial" w:cs="Arial"/>
          <w:i/>
          <w:iCs/>
          <w:color w:val="000000"/>
          <w:sz w:val="22"/>
          <w:szCs w:val="22"/>
          <w:lang w:val="es-MX"/>
        </w:rPr>
      </w:pPr>
      <w:r w:rsidRPr="00921A7D">
        <w:rPr>
          <w:rFonts w:ascii="Arial" w:hAnsi="Arial" w:cs="Arial"/>
          <w:i/>
          <w:iCs/>
          <w:color w:val="000000"/>
          <w:sz w:val="22"/>
          <w:szCs w:val="22"/>
          <w:lang w:val="es-MX"/>
        </w:rPr>
        <w:t>Se cuestionen los hechos y valoren las pruebas desechando cualquier estereotipo o prejuicio de género, a fin de visualizar las situaciones de desventaja provocadas por condiciones de sexo o género</w:t>
      </w:r>
      <w:r w:rsidR="007A392B" w:rsidRPr="00921A7D">
        <w:rPr>
          <w:rFonts w:ascii="Arial" w:hAnsi="Arial" w:cs="Arial"/>
          <w:i/>
          <w:iCs/>
          <w:color w:val="000000"/>
          <w:sz w:val="22"/>
          <w:szCs w:val="22"/>
          <w:lang w:val="es-MX"/>
        </w:rPr>
        <w:t>.</w:t>
      </w:r>
    </w:p>
    <w:p w14:paraId="650F9797" w14:textId="77777777" w:rsidR="007A392B" w:rsidRPr="00921A7D" w:rsidRDefault="007A392B" w:rsidP="007A392B">
      <w:pPr>
        <w:autoSpaceDE w:val="0"/>
        <w:autoSpaceDN w:val="0"/>
        <w:adjustRightInd w:val="0"/>
        <w:spacing w:line="276" w:lineRule="auto"/>
        <w:ind w:left="-360" w:firstLine="708"/>
        <w:jc w:val="both"/>
        <w:rPr>
          <w:rFonts w:ascii="Arial" w:hAnsi="Arial" w:cs="Arial"/>
          <w:i/>
          <w:iCs/>
          <w:color w:val="000000"/>
        </w:rPr>
      </w:pPr>
    </w:p>
    <w:p w14:paraId="6A04D99F" w14:textId="349804E0" w:rsidR="00BE491F" w:rsidRPr="00921A7D" w:rsidRDefault="00BE491F" w:rsidP="00EC19A5">
      <w:pPr>
        <w:pStyle w:val="Prrafodelista"/>
        <w:numPr>
          <w:ilvl w:val="0"/>
          <w:numId w:val="1"/>
        </w:numPr>
        <w:autoSpaceDE w:val="0"/>
        <w:autoSpaceDN w:val="0"/>
        <w:adjustRightInd w:val="0"/>
        <w:spacing w:line="276" w:lineRule="auto"/>
        <w:ind w:left="1068"/>
        <w:jc w:val="both"/>
        <w:rPr>
          <w:rFonts w:ascii="Arial" w:hAnsi="Arial" w:cs="Arial"/>
          <w:color w:val="000000"/>
          <w:sz w:val="22"/>
          <w:szCs w:val="22"/>
          <w:lang w:val="es-MX"/>
        </w:rPr>
      </w:pPr>
      <w:r w:rsidRPr="00921A7D">
        <w:rPr>
          <w:rFonts w:ascii="Arial" w:hAnsi="Arial" w:cs="Arial"/>
          <w:i/>
          <w:iCs/>
          <w:color w:val="000000"/>
          <w:sz w:val="22"/>
          <w:szCs w:val="22"/>
          <w:lang w:val="es-MX"/>
        </w:rPr>
        <w:t>En caso de que el material probatorio no sea suficiente para aclarar la situación de violencia, vulnerabilidad o discriminación por razones de género, se ordenarán las pruebas necesarias para visibilizar dichas situaciones</w:t>
      </w:r>
      <w:r w:rsidRPr="00921A7D">
        <w:rPr>
          <w:rFonts w:ascii="Arial" w:hAnsi="Arial" w:cs="Arial"/>
          <w:color w:val="000000"/>
          <w:sz w:val="22"/>
          <w:szCs w:val="22"/>
          <w:lang w:val="es-MX"/>
        </w:rPr>
        <w:t>.</w:t>
      </w:r>
      <w:r w:rsidRPr="00921A7D">
        <w:rPr>
          <w:rStyle w:val="Refdenotaalpie"/>
          <w:rFonts w:ascii="Arial" w:hAnsi="Arial" w:cs="Arial"/>
          <w:color w:val="000000"/>
          <w:sz w:val="22"/>
          <w:szCs w:val="22"/>
          <w:lang w:val="es-MX"/>
        </w:rPr>
        <w:footnoteReference w:id="5"/>
      </w:r>
    </w:p>
    <w:p w14:paraId="7FEE0D17" w14:textId="315A1BFB" w:rsidR="00CF7BB4" w:rsidRPr="00921A7D" w:rsidRDefault="00CF7BB4" w:rsidP="00CF7BB4">
      <w:pPr>
        <w:autoSpaceDE w:val="0"/>
        <w:autoSpaceDN w:val="0"/>
        <w:adjustRightInd w:val="0"/>
        <w:spacing w:line="360" w:lineRule="auto"/>
        <w:jc w:val="both"/>
        <w:rPr>
          <w:rFonts w:ascii="Arial" w:hAnsi="Arial" w:cs="Arial"/>
          <w:color w:val="000000"/>
        </w:rPr>
      </w:pPr>
    </w:p>
    <w:p w14:paraId="5EAF83A4" w14:textId="11D0D7CF" w:rsidR="007A392B" w:rsidRPr="00921A7D" w:rsidRDefault="004005F5" w:rsidP="007A392B">
      <w:pPr>
        <w:autoSpaceDE w:val="0"/>
        <w:autoSpaceDN w:val="0"/>
        <w:adjustRightInd w:val="0"/>
        <w:spacing w:line="276" w:lineRule="auto"/>
        <w:ind w:firstLine="708"/>
        <w:jc w:val="both"/>
        <w:rPr>
          <w:rFonts w:ascii="Arial" w:hAnsi="Arial" w:cs="Arial"/>
          <w:color w:val="000000"/>
        </w:rPr>
      </w:pPr>
      <w:r w:rsidRPr="00921A7D">
        <w:rPr>
          <w:rFonts w:ascii="Arial" w:hAnsi="Arial" w:cs="Arial"/>
          <w:color w:val="000000"/>
        </w:rPr>
        <w:t xml:space="preserve">Lamentablemente, en pleno 2024, tenemos </w:t>
      </w:r>
      <w:r w:rsidR="007A392B" w:rsidRPr="00921A7D">
        <w:rPr>
          <w:rFonts w:ascii="Arial" w:hAnsi="Arial" w:cs="Arial"/>
          <w:color w:val="000000"/>
        </w:rPr>
        <w:t>la necesidad de reconocer la existencia de una situación estructural de discriminación hacia las mujeres, que les impide gozar de sus derechos en pie de igualdad con los hombres. Esto demanda un esfuerzo en la valoración de las pruebas en situaciones de legítima defensa; especialmente, cuando la legítima defensa se alega en el marco de relaciones abusivas y en el ámbito doméstico. No valorar las pruebas de un caso con un enfoque de género apropiado conlleva a reproducir sesgos que invisibilizan la violencia contra la mujer, contribuyendo a la imperante impunidad que rodea este fenómeno. Esto es sumamente problemático si se tiene en cuenta que la impunidad perpetúa estereotipos negativos sobre las mujeres que terminan, de alguna manera, culpabilizándolas o victimizándolas de su propia agresión.</w:t>
      </w:r>
    </w:p>
    <w:p w14:paraId="28F99D05" w14:textId="0B09A3C8" w:rsidR="007A392B" w:rsidRPr="00921A7D" w:rsidRDefault="007A392B" w:rsidP="007A392B">
      <w:pPr>
        <w:autoSpaceDE w:val="0"/>
        <w:autoSpaceDN w:val="0"/>
        <w:adjustRightInd w:val="0"/>
        <w:spacing w:line="276" w:lineRule="auto"/>
        <w:ind w:firstLine="708"/>
        <w:jc w:val="both"/>
        <w:rPr>
          <w:rFonts w:ascii="Arial" w:hAnsi="Arial" w:cs="Arial"/>
          <w:color w:val="000000"/>
        </w:rPr>
      </w:pPr>
    </w:p>
    <w:p w14:paraId="5683670C" w14:textId="6AF4AF45" w:rsidR="0011052F" w:rsidRPr="00921A7D" w:rsidRDefault="007A392B" w:rsidP="004005F5">
      <w:pPr>
        <w:autoSpaceDE w:val="0"/>
        <w:autoSpaceDN w:val="0"/>
        <w:adjustRightInd w:val="0"/>
        <w:spacing w:line="276" w:lineRule="auto"/>
        <w:ind w:firstLine="708"/>
        <w:jc w:val="both"/>
        <w:rPr>
          <w:rFonts w:ascii="Arial" w:hAnsi="Arial" w:cs="Arial"/>
          <w:color w:val="000000"/>
        </w:rPr>
      </w:pPr>
      <w:r w:rsidRPr="00921A7D">
        <w:rPr>
          <w:rFonts w:ascii="Arial" w:hAnsi="Arial" w:cs="Arial"/>
          <w:color w:val="000000"/>
        </w:rPr>
        <w:t xml:space="preserve">Como </w:t>
      </w:r>
      <w:r w:rsidR="004005F5" w:rsidRPr="00921A7D">
        <w:rPr>
          <w:rFonts w:ascii="Arial" w:hAnsi="Arial" w:cs="Arial"/>
          <w:color w:val="000000"/>
        </w:rPr>
        <w:t>legisladoras y legisladores</w:t>
      </w:r>
      <w:r w:rsidRPr="00921A7D">
        <w:rPr>
          <w:rFonts w:ascii="Arial" w:hAnsi="Arial" w:cs="Arial"/>
          <w:color w:val="000000"/>
        </w:rPr>
        <w:t xml:space="preserve"> es nuestra obligación extremar la protección de los derechos humanos y crear un entorno lo más seguro posible para la mayoría de la población, especialmente para las personas consideradas más vulnerables</w:t>
      </w:r>
      <w:r w:rsidR="004005F5" w:rsidRPr="00921A7D">
        <w:rPr>
          <w:rFonts w:ascii="Arial" w:hAnsi="Arial" w:cs="Arial"/>
          <w:color w:val="000000"/>
        </w:rPr>
        <w:t xml:space="preserve">. </w:t>
      </w:r>
      <w:r w:rsidR="00DE0A48" w:rsidRPr="00921A7D">
        <w:rPr>
          <w:rFonts w:ascii="Arial" w:hAnsi="Arial" w:cs="Arial"/>
          <w:color w:val="000000"/>
        </w:rPr>
        <w:t>En mérito de lo antes expuesto, es que somet</w:t>
      </w:r>
      <w:r w:rsidRPr="00921A7D">
        <w:rPr>
          <w:rFonts w:ascii="Arial" w:hAnsi="Arial" w:cs="Arial"/>
          <w:color w:val="000000"/>
        </w:rPr>
        <w:t>o</w:t>
      </w:r>
      <w:r w:rsidR="00DE0A48" w:rsidRPr="00921A7D">
        <w:rPr>
          <w:rFonts w:ascii="Arial" w:hAnsi="Arial" w:cs="Arial"/>
          <w:color w:val="000000"/>
        </w:rPr>
        <w:t xml:space="preserve"> a la consideración de la Asamblea la siguiente propuesta de:</w:t>
      </w:r>
    </w:p>
    <w:p w14:paraId="359A4661" w14:textId="77777777" w:rsidR="00187A49" w:rsidRPr="00921A7D" w:rsidRDefault="00187A49" w:rsidP="00F66EE8">
      <w:pPr>
        <w:spacing w:line="276" w:lineRule="auto"/>
        <w:jc w:val="center"/>
        <w:rPr>
          <w:rFonts w:ascii="Arial" w:hAnsi="Arial" w:cs="Arial"/>
          <w:b/>
          <w:bCs/>
        </w:rPr>
      </w:pPr>
    </w:p>
    <w:p w14:paraId="2B111977" w14:textId="39EF8A52" w:rsidR="005F0F9B" w:rsidRPr="00921A7D" w:rsidRDefault="0011052F" w:rsidP="00F66EE8">
      <w:pPr>
        <w:spacing w:line="276" w:lineRule="auto"/>
        <w:jc w:val="center"/>
        <w:rPr>
          <w:rFonts w:ascii="Arial" w:hAnsi="Arial" w:cs="Arial"/>
          <w:b/>
          <w:bCs/>
        </w:rPr>
      </w:pPr>
      <w:r w:rsidRPr="00921A7D">
        <w:rPr>
          <w:rFonts w:ascii="Arial" w:hAnsi="Arial" w:cs="Arial"/>
          <w:b/>
          <w:bCs/>
        </w:rPr>
        <w:t>D E C R E T O</w:t>
      </w:r>
    </w:p>
    <w:p w14:paraId="18AC4840" w14:textId="77777777" w:rsidR="005F0F9B" w:rsidRPr="00921A7D" w:rsidRDefault="005F0F9B" w:rsidP="0022538C">
      <w:pPr>
        <w:spacing w:line="276" w:lineRule="auto"/>
        <w:jc w:val="both"/>
        <w:rPr>
          <w:rFonts w:ascii="Arial" w:hAnsi="Arial" w:cs="Arial"/>
          <w:b/>
          <w:bCs/>
        </w:rPr>
      </w:pPr>
    </w:p>
    <w:p w14:paraId="3CEE37EF" w14:textId="0A72D4BD" w:rsidR="005F0F9B" w:rsidRPr="00921A7D" w:rsidRDefault="0011052F" w:rsidP="00187A49">
      <w:pPr>
        <w:spacing w:line="360" w:lineRule="auto"/>
        <w:jc w:val="both"/>
        <w:rPr>
          <w:rFonts w:ascii="Arial" w:hAnsi="Arial" w:cs="Arial"/>
          <w:color w:val="000000"/>
        </w:rPr>
      </w:pPr>
      <w:r w:rsidRPr="00921A7D">
        <w:rPr>
          <w:rFonts w:ascii="Arial" w:hAnsi="Arial" w:cs="Arial"/>
          <w:b/>
          <w:bCs/>
        </w:rPr>
        <w:t xml:space="preserve">ARTÍCULO </w:t>
      </w:r>
      <w:proofErr w:type="gramStart"/>
      <w:r w:rsidR="009D251A" w:rsidRPr="00921A7D">
        <w:rPr>
          <w:rFonts w:ascii="Arial" w:hAnsi="Arial" w:cs="Arial"/>
          <w:b/>
          <w:bCs/>
        </w:rPr>
        <w:t>ÚNICO</w:t>
      </w:r>
      <w:r w:rsidRPr="00921A7D">
        <w:rPr>
          <w:rFonts w:ascii="Arial" w:hAnsi="Arial" w:cs="Arial"/>
          <w:b/>
          <w:bCs/>
        </w:rPr>
        <w:t>.-</w:t>
      </w:r>
      <w:bookmarkEnd w:id="0"/>
      <w:proofErr w:type="gramEnd"/>
      <w:r w:rsidRPr="00921A7D">
        <w:rPr>
          <w:rFonts w:ascii="Arial" w:hAnsi="Arial" w:cs="Arial"/>
        </w:rPr>
        <w:t xml:space="preserve"> </w:t>
      </w:r>
      <w:r w:rsidR="005F0F9B" w:rsidRPr="00921A7D">
        <w:rPr>
          <w:rFonts w:ascii="Arial" w:hAnsi="Arial" w:cs="Arial"/>
          <w:color w:val="000000"/>
        </w:rPr>
        <w:t>S</w:t>
      </w:r>
      <w:r w:rsidR="00324935" w:rsidRPr="00921A7D">
        <w:rPr>
          <w:rFonts w:ascii="Arial" w:hAnsi="Arial" w:cs="Arial"/>
          <w:color w:val="000000"/>
        </w:rPr>
        <w:t>e</w:t>
      </w:r>
      <w:r w:rsidR="009D251A" w:rsidRPr="00921A7D">
        <w:rPr>
          <w:rFonts w:ascii="Arial" w:hAnsi="Arial" w:cs="Arial"/>
          <w:color w:val="000000"/>
        </w:rPr>
        <w:t xml:space="preserve"> Adiciona al artículo 28, fracción IV, un tercer párrafo; para quedar redactado de la siguiente manera: </w:t>
      </w:r>
      <w:r w:rsidR="00324935" w:rsidRPr="00921A7D">
        <w:rPr>
          <w:rFonts w:ascii="Arial" w:hAnsi="Arial" w:cs="Arial"/>
          <w:color w:val="000000"/>
        </w:rPr>
        <w:t xml:space="preserve"> </w:t>
      </w:r>
    </w:p>
    <w:p w14:paraId="7258160C" w14:textId="0C3DF50D" w:rsidR="009D251A" w:rsidRPr="00921A7D" w:rsidRDefault="009D251A" w:rsidP="00187A49">
      <w:pPr>
        <w:spacing w:line="360" w:lineRule="auto"/>
        <w:jc w:val="both"/>
        <w:rPr>
          <w:rFonts w:ascii="Arial" w:hAnsi="Arial" w:cs="Arial"/>
          <w:color w:val="000000"/>
        </w:rPr>
      </w:pPr>
      <w:r w:rsidRPr="00921A7D">
        <w:rPr>
          <w:rFonts w:ascii="Arial" w:hAnsi="Arial" w:cs="Arial"/>
          <w:b/>
          <w:bCs/>
          <w:color w:val="000000"/>
        </w:rPr>
        <w:t>Artículo 28.</w:t>
      </w:r>
      <w:r w:rsidRPr="00921A7D">
        <w:rPr>
          <w:rFonts w:ascii="Arial" w:hAnsi="Arial" w:cs="Arial"/>
          <w:color w:val="000000"/>
        </w:rPr>
        <w:t xml:space="preserve"> …</w:t>
      </w:r>
    </w:p>
    <w:p w14:paraId="3FEEBE47" w14:textId="6870FBCC" w:rsidR="009D251A" w:rsidRPr="00921A7D" w:rsidRDefault="009D251A" w:rsidP="00187A49">
      <w:pPr>
        <w:spacing w:line="360" w:lineRule="auto"/>
        <w:jc w:val="both"/>
        <w:rPr>
          <w:rFonts w:ascii="Arial" w:hAnsi="Arial" w:cs="Arial"/>
          <w:color w:val="000000"/>
        </w:rPr>
      </w:pPr>
      <w:r w:rsidRPr="00921A7D">
        <w:rPr>
          <w:rFonts w:ascii="Arial" w:hAnsi="Arial" w:cs="Arial"/>
          <w:color w:val="000000"/>
        </w:rPr>
        <w:t>…</w:t>
      </w:r>
    </w:p>
    <w:p w14:paraId="1D8343EF" w14:textId="1C85CD8B" w:rsidR="005A7EDC" w:rsidRPr="00921A7D" w:rsidRDefault="009D251A" w:rsidP="005A7EDC">
      <w:pPr>
        <w:pStyle w:val="Prrafodelista"/>
        <w:numPr>
          <w:ilvl w:val="0"/>
          <w:numId w:val="2"/>
        </w:numPr>
        <w:spacing w:line="360" w:lineRule="auto"/>
        <w:jc w:val="both"/>
        <w:rPr>
          <w:rFonts w:ascii="Arial" w:hAnsi="Arial" w:cs="Arial"/>
          <w:color w:val="000000"/>
          <w:sz w:val="22"/>
          <w:szCs w:val="22"/>
          <w:lang w:val="es-MX"/>
        </w:rPr>
      </w:pPr>
      <w:r w:rsidRPr="00921A7D">
        <w:rPr>
          <w:rFonts w:ascii="Arial" w:hAnsi="Arial" w:cs="Arial"/>
          <w:color w:val="000000"/>
          <w:sz w:val="22"/>
          <w:szCs w:val="22"/>
          <w:lang w:val="es-MX"/>
        </w:rPr>
        <w:t>a III. …</w:t>
      </w:r>
    </w:p>
    <w:p w14:paraId="2B254A27" w14:textId="509A80C0" w:rsidR="009D251A" w:rsidRPr="00921A7D" w:rsidRDefault="009D251A" w:rsidP="009D251A">
      <w:pPr>
        <w:pStyle w:val="Prrafodelista"/>
        <w:spacing w:line="360" w:lineRule="auto"/>
        <w:ind w:left="1080"/>
        <w:jc w:val="both"/>
        <w:rPr>
          <w:rFonts w:ascii="Arial" w:hAnsi="Arial" w:cs="Arial"/>
          <w:color w:val="000000"/>
          <w:sz w:val="22"/>
          <w:szCs w:val="22"/>
          <w:lang w:val="es-MX"/>
        </w:rPr>
      </w:pPr>
    </w:p>
    <w:p w14:paraId="524A23A2" w14:textId="0145EE8C" w:rsidR="009D251A" w:rsidRPr="00921A7D" w:rsidRDefault="009D251A" w:rsidP="009D251A">
      <w:pPr>
        <w:pStyle w:val="Prrafodelista"/>
        <w:spacing w:line="360" w:lineRule="auto"/>
        <w:ind w:left="1080"/>
        <w:jc w:val="both"/>
        <w:rPr>
          <w:rFonts w:ascii="Arial" w:hAnsi="Arial" w:cs="Arial"/>
          <w:color w:val="000000"/>
          <w:sz w:val="22"/>
          <w:szCs w:val="22"/>
          <w:lang w:val="es-MX"/>
        </w:rPr>
      </w:pPr>
    </w:p>
    <w:p w14:paraId="72DD2B87" w14:textId="29DBBC80" w:rsidR="009D251A" w:rsidRPr="00921A7D" w:rsidRDefault="009D251A" w:rsidP="009D251A">
      <w:pPr>
        <w:pStyle w:val="Prrafodelista"/>
        <w:spacing w:line="360" w:lineRule="auto"/>
        <w:ind w:left="1080"/>
        <w:jc w:val="both"/>
        <w:rPr>
          <w:rFonts w:ascii="Arial" w:hAnsi="Arial" w:cs="Arial"/>
          <w:color w:val="000000"/>
          <w:sz w:val="22"/>
          <w:szCs w:val="22"/>
          <w:lang w:val="es-MX"/>
        </w:rPr>
      </w:pPr>
    </w:p>
    <w:p w14:paraId="74328D72" w14:textId="623A7C9F" w:rsidR="009D251A" w:rsidRPr="00921A7D" w:rsidRDefault="009D251A" w:rsidP="009D251A">
      <w:pPr>
        <w:pStyle w:val="Prrafodelista"/>
        <w:numPr>
          <w:ilvl w:val="0"/>
          <w:numId w:val="3"/>
        </w:numPr>
        <w:spacing w:line="360" w:lineRule="auto"/>
        <w:jc w:val="both"/>
        <w:rPr>
          <w:rFonts w:ascii="Arial" w:hAnsi="Arial" w:cs="Arial"/>
          <w:color w:val="000000"/>
          <w:sz w:val="22"/>
          <w:szCs w:val="22"/>
          <w:lang w:val="es-MX"/>
        </w:rPr>
      </w:pPr>
      <w:r w:rsidRPr="00921A7D">
        <w:rPr>
          <w:rFonts w:ascii="Arial" w:hAnsi="Arial" w:cs="Arial"/>
          <w:color w:val="000000"/>
          <w:sz w:val="22"/>
          <w:szCs w:val="22"/>
          <w:lang w:val="es-MX"/>
        </w:rPr>
        <w:t>…</w:t>
      </w:r>
    </w:p>
    <w:p w14:paraId="78CBD565" w14:textId="093A98F6" w:rsidR="009D251A" w:rsidRPr="00921A7D" w:rsidRDefault="009D251A" w:rsidP="009D251A">
      <w:pPr>
        <w:pStyle w:val="Prrafodelista"/>
        <w:spacing w:line="360" w:lineRule="auto"/>
        <w:ind w:left="1080"/>
        <w:jc w:val="both"/>
        <w:rPr>
          <w:rFonts w:ascii="Arial" w:hAnsi="Arial" w:cs="Arial"/>
          <w:color w:val="000000"/>
          <w:sz w:val="22"/>
          <w:szCs w:val="22"/>
          <w:lang w:val="es-MX"/>
        </w:rPr>
      </w:pPr>
      <w:r w:rsidRPr="00921A7D">
        <w:rPr>
          <w:rFonts w:ascii="Arial" w:hAnsi="Arial" w:cs="Arial"/>
          <w:color w:val="000000"/>
          <w:sz w:val="22"/>
          <w:szCs w:val="22"/>
          <w:lang w:val="es-MX"/>
        </w:rPr>
        <w:t>…</w:t>
      </w:r>
    </w:p>
    <w:p w14:paraId="280ACA7E" w14:textId="542B16DA" w:rsidR="009D251A" w:rsidRPr="00921A7D" w:rsidRDefault="009D251A" w:rsidP="009D251A">
      <w:pPr>
        <w:pStyle w:val="Prrafodelista"/>
        <w:spacing w:line="360" w:lineRule="auto"/>
        <w:ind w:left="1080"/>
        <w:jc w:val="both"/>
        <w:rPr>
          <w:rFonts w:ascii="Arial" w:hAnsi="Arial" w:cs="Arial"/>
          <w:b/>
          <w:bCs/>
          <w:color w:val="000000"/>
          <w:sz w:val="22"/>
          <w:szCs w:val="22"/>
          <w:lang w:val="es-MX"/>
        </w:rPr>
      </w:pPr>
      <w:r w:rsidRPr="00921A7D">
        <w:rPr>
          <w:rFonts w:ascii="Arial" w:hAnsi="Arial" w:cs="Arial"/>
          <w:b/>
          <w:bCs/>
          <w:color w:val="000000"/>
          <w:sz w:val="22"/>
          <w:szCs w:val="22"/>
          <w:lang w:val="es-MX"/>
        </w:rPr>
        <w:t>También se presumirá legítima defensa, salvo prueba en contrario, cuando la agresión tuviere lugar en un contexto de violencia de género que abarque la violencia física, psicológica, sexual, familiar o feminicida y sea</w:t>
      </w:r>
      <w:r w:rsidR="000C4FDB" w:rsidRPr="00921A7D">
        <w:rPr>
          <w:rFonts w:ascii="Arial" w:hAnsi="Arial" w:cs="Arial"/>
          <w:b/>
          <w:bCs/>
          <w:color w:val="000000"/>
          <w:sz w:val="22"/>
          <w:szCs w:val="22"/>
          <w:lang w:val="es-MX"/>
        </w:rPr>
        <w:t xml:space="preserve"> esta sea repelida. </w:t>
      </w:r>
    </w:p>
    <w:p w14:paraId="14187C5E" w14:textId="77777777" w:rsidR="005A7EDC" w:rsidRPr="00921A7D" w:rsidRDefault="005A7EDC" w:rsidP="009D251A">
      <w:pPr>
        <w:pStyle w:val="Prrafodelista"/>
        <w:spacing w:line="360" w:lineRule="auto"/>
        <w:ind w:left="1080"/>
        <w:jc w:val="both"/>
        <w:rPr>
          <w:rFonts w:ascii="Arial" w:hAnsi="Arial" w:cs="Arial"/>
          <w:b/>
          <w:bCs/>
          <w:color w:val="000000"/>
          <w:sz w:val="22"/>
          <w:szCs w:val="22"/>
          <w:lang w:val="es-MX"/>
        </w:rPr>
      </w:pPr>
    </w:p>
    <w:p w14:paraId="6D8493EC" w14:textId="0A67ED74" w:rsidR="000C4FDB" w:rsidRPr="00921A7D" w:rsidRDefault="000C4FDB" w:rsidP="000C4FDB">
      <w:pPr>
        <w:pStyle w:val="Prrafodelista"/>
        <w:numPr>
          <w:ilvl w:val="0"/>
          <w:numId w:val="3"/>
        </w:numPr>
        <w:spacing w:line="360" w:lineRule="auto"/>
        <w:jc w:val="both"/>
        <w:rPr>
          <w:rFonts w:ascii="Arial" w:hAnsi="Arial" w:cs="Arial"/>
          <w:color w:val="000000"/>
          <w:sz w:val="22"/>
          <w:szCs w:val="22"/>
        </w:rPr>
      </w:pPr>
      <w:proofErr w:type="gramStart"/>
      <w:r w:rsidRPr="00921A7D">
        <w:rPr>
          <w:rFonts w:ascii="Arial" w:hAnsi="Arial" w:cs="Arial"/>
          <w:color w:val="000000"/>
          <w:sz w:val="22"/>
          <w:szCs w:val="22"/>
        </w:rPr>
        <w:t>a</w:t>
      </w:r>
      <w:proofErr w:type="gramEnd"/>
      <w:r w:rsidRPr="00921A7D">
        <w:rPr>
          <w:rFonts w:ascii="Arial" w:hAnsi="Arial" w:cs="Arial"/>
          <w:color w:val="000000"/>
          <w:sz w:val="22"/>
          <w:szCs w:val="22"/>
        </w:rPr>
        <w:t xml:space="preserve"> IX. …</w:t>
      </w:r>
    </w:p>
    <w:p w14:paraId="500D43AC" w14:textId="77777777" w:rsidR="005A7EDC" w:rsidRPr="00921A7D" w:rsidRDefault="005A7EDC" w:rsidP="005A7EDC">
      <w:pPr>
        <w:pStyle w:val="Prrafodelista"/>
        <w:spacing w:line="360" w:lineRule="auto"/>
        <w:ind w:left="1080"/>
        <w:jc w:val="both"/>
        <w:rPr>
          <w:rFonts w:ascii="Arial" w:hAnsi="Arial" w:cs="Arial"/>
          <w:color w:val="000000"/>
          <w:sz w:val="22"/>
          <w:szCs w:val="22"/>
        </w:rPr>
      </w:pPr>
    </w:p>
    <w:p w14:paraId="2F174294" w14:textId="10DE5F43" w:rsidR="000C4FDB" w:rsidRPr="00921A7D" w:rsidRDefault="000C4FDB" w:rsidP="000C4FDB">
      <w:pPr>
        <w:spacing w:line="360" w:lineRule="auto"/>
        <w:jc w:val="both"/>
        <w:rPr>
          <w:rFonts w:ascii="Arial" w:hAnsi="Arial" w:cs="Arial"/>
          <w:color w:val="000000"/>
        </w:rPr>
      </w:pPr>
      <w:r w:rsidRPr="00921A7D">
        <w:rPr>
          <w:rFonts w:ascii="Arial" w:hAnsi="Arial" w:cs="Arial"/>
          <w:color w:val="000000"/>
        </w:rPr>
        <w:t>…</w:t>
      </w:r>
    </w:p>
    <w:p w14:paraId="59A3B868" w14:textId="77777777" w:rsidR="00921A7D" w:rsidRPr="00921A7D" w:rsidRDefault="000C4FDB" w:rsidP="00921A7D">
      <w:pPr>
        <w:spacing w:line="360" w:lineRule="auto"/>
        <w:jc w:val="both"/>
        <w:rPr>
          <w:rFonts w:ascii="Arial" w:hAnsi="Arial" w:cs="Arial"/>
          <w:color w:val="000000"/>
        </w:rPr>
      </w:pPr>
      <w:r w:rsidRPr="00921A7D">
        <w:rPr>
          <w:rFonts w:ascii="Arial" w:hAnsi="Arial" w:cs="Arial"/>
          <w:color w:val="000000"/>
        </w:rPr>
        <w:t xml:space="preserve">… </w:t>
      </w:r>
    </w:p>
    <w:p w14:paraId="3388CE92" w14:textId="3AEE0E34" w:rsidR="0011052F" w:rsidRPr="00921A7D" w:rsidRDefault="0011052F" w:rsidP="00921A7D">
      <w:pPr>
        <w:spacing w:line="360" w:lineRule="auto"/>
        <w:jc w:val="center"/>
        <w:rPr>
          <w:rFonts w:ascii="Arial" w:hAnsi="Arial" w:cs="Arial"/>
          <w:b/>
          <w:bCs/>
        </w:rPr>
      </w:pPr>
      <w:r w:rsidRPr="00921A7D">
        <w:rPr>
          <w:rFonts w:ascii="Arial" w:hAnsi="Arial" w:cs="Arial"/>
          <w:b/>
          <w:bCs/>
        </w:rPr>
        <w:t>TRANSITORIOS</w:t>
      </w:r>
    </w:p>
    <w:p w14:paraId="471B9715" w14:textId="77777777" w:rsidR="0011052F" w:rsidRPr="00921A7D" w:rsidRDefault="0011052F" w:rsidP="0022538C">
      <w:pPr>
        <w:spacing w:line="276" w:lineRule="auto"/>
        <w:jc w:val="both"/>
        <w:rPr>
          <w:rFonts w:ascii="Arial" w:hAnsi="Arial" w:cs="Arial"/>
        </w:rPr>
      </w:pPr>
    </w:p>
    <w:p w14:paraId="087FDC92" w14:textId="71B6E5D1" w:rsidR="0011052F" w:rsidRPr="00921A7D" w:rsidRDefault="0011052F" w:rsidP="00187A49">
      <w:pPr>
        <w:spacing w:line="360" w:lineRule="auto"/>
        <w:jc w:val="both"/>
        <w:rPr>
          <w:rFonts w:ascii="Arial" w:hAnsi="Arial" w:cs="Arial"/>
        </w:rPr>
      </w:pPr>
      <w:r w:rsidRPr="00921A7D">
        <w:rPr>
          <w:rFonts w:ascii="Arial" w:hAnsi="Arial" w:cs="Arial"/>
          <w:b/>
          <w:bCs/>
        </w:rPr>
        <w:t xml:space="preserve">ARTÍCULO </w:t>
      </w:r>
      <w:proofErr w:type="gramStart"/>
      <w:r w:rsidR="005F0F9B" w:rsidRPr="00921A7D">
        <w:rPr>
          <w:rFonts w:ascii="Arial" w:hAnsi="Arial" w:cs="Arial"/>
          <w:b/>
          <w:bCs/>
        </w:rPr>
        <w:t>ÚNICO</w:t>
      </w:r>
      <w:r w:rsidRPr="00921A7D">
        <w:rPr>
          <w:rFonts w:ascii="Arial" w:hAnsi="Arial" w:cs="Arial"/>
          <w:b/>
          <w:bCs/>
        </w:rPr>
        <w:t>.-</w:t>
      </w:r>
      <w:proofErr w:type="gramEnd"/>
      <w:r w:rsidRPr="00921A7D">
        <w:rPr>
          <w:rFonts w:ascii="Arial" w:hAnsi="Arial" w:cs="Arial"/>
          <w:b/>
          <w:bCs/>
        </w:rPr>
        <w:t xml:space="preserve"> </w:t>
      </w:r>
      <w:r w:rsidRPr="00921A7D">
        <w:rPr>
          <w:rFonts w:ascii="Arial" w:hAnsi="Arial" w:cs="Arial"/>
        </w:rPr>
        <w:t xml:space="preserve">El presente Decreto entrará en vigor al día siguiente de su publicación en el Periódico Oficial del Estado. </w:t>
      </w:r>
    </w:p>
    <w:p w14:paraId="1C17A500" w14:textId="77777777" w:rsidR="00187A49" w:rsidRPr="00921A7D" w:rsidRDefault="00187A49" w:rsidP="00187A49">
      <w:pPr>
        <w:autoSpaceDE w:val="0"/>
        <w:autoSpaceDN w:val="0"/>
        <w:adjustRightInd w:val="0"/>
        <w:spacing w:line="360" w:lineRule="auto"/>
        <w:jc w:val="both"/>
        <w:rPr>
          <w:rFonts w:ascii="Arial" w:hAnsi="Arial" w:cs="Arial"/>
          <w:color w:val="000000"/>
        </w:rPr>
      </w:pPr>
    </w:p>
    <w:p w14:paraId="18D574FE" w14:textId="02413EEC" w:rsidR="0011052F" w:rsidRPr="00921A7D" w:rsidRDefault="0011052F" w:rsidP="00187A49">
      <w:pPr>
        <w:autoSpaceDE w:val="0"/>
        <w:autoSpaceDN w:val="0"/>
        <w:adjustRightInd w:val="0"/>
        <w:spacing w:line="360" w:lineRule="auto"/>
        <w:jc w:val="both"/>
        <w:rPr>
          <w:rFonts w:ascii="Arial" w:hAnsi="Arial" w:cs="Arial"/>
          <w:color w:val="000000"/>
        </w:rPr>
      </w:pPr>
      <w:proofErr w:type="gramStart"/>
      <w:r w:rsidRPr="00921A7D">
        <w:rPr>
          <w:rFonts w:ascii="Arial" w:hAnsi="Arial" w:cs="Arial"/>
          <w:b/>
          <w:bCs/>
          <w:color w:val="000000"/>
        </w:rPr>
        <w:lastRenderedPageBreak/>
        <w:t>ECONÓMICO.-</w:t>
      </w:r>
      <w:proofErr w:type="gramEnd"/>
      <w:r w:rsidRPr="00921A7D">
        <w:rPr>
          <w:rFonts w:ascii="Arial" w:hAnsi="Arial" w:cs="Arial"/>
          <w:color w:val="000000"/>
        </w:rPr>
        <w:t xml:space="preserve"> Aprobado que sea, túrnese a la Secretaría para que elabore la Minuta de Decreto, en los términos en que deba publicarse. </w:t>
      </w:r>
    </w:p>
    <w:p w14:paraId="39A9133C" w14:textId="77777777" w:rsidR="005F0F9B" w:rsidRPr="00921A7D" w:rsidRDefault="005F0F9B" w:rsidP="0022538C">
      <w:pPr>
        <w:autoSpaceDE w:val="0"/>
        <w:autoSpaceDN w:val="0"/>
        <w:adjustRightInd w:val="0"/>
        <w:spacing w:line="276" w:lineRule="auto"/>
        <w:jc w:val="both"/>
        <w:rPr>
          <w:rFonts w:ascii="Arial" w:hAnsi="Arial" w:cs="Arial"/>
          <w:color w:val="000000"/>
        </w:rPr>
      </w:pPr>
    </w:p>
    <w:p w14:paraId="27D401E8" w14:textId="2E00C399" w:rsidR="0011052F" w:rsidRPr="00921A7D" w:rsidRDefault="0011052F" w:rsidP="00187A49">
      <w:pPr>
        <w:autoSpaceDE w:val="0"/>
        <w:autoSpaceDN w:val="0"/>
        <w:adjustRightInd w:val="0"/>
        <w:spacing w:line="360" w:lineRule="auto"/>
        <w:jc w:val="both"/>
        <w:rPr>
          <w:rFonts w:ascii="Arial" w:hAnsi="Arial" w:cs="Arial"/>
          <w:color w:val="000000"/>
        </w:rPr>
      </w:pPr>
      <w:r w:rsidRPr="00921A7D">
        <w:rPr>
          <w:rFonts w:ascii="Arial" w:hAnsi="Arial" w:cs="Arial"/>
          <w:color w:val="000000"/>
        </w:rPr>
        <w:t xml:space="preserve">DADO en el Recinto Oficial del Poder Legislativo, en la Ciudad de Chihuahua, Chih., a los </w:t>
      </w:r>
      <w:r w:rsidR="00B1476C" w:rsidRPr="00921A7D">
        <w:rPr>
          <w:rFonts w:ascii="Arial" w:hAnsi="Arial" w:cs="Arial"/>
          <w:color w:val="000000"/>
        </w:rPr>
        <w:t>doce</w:t>
      </w:r>
      <w:r w:rsidRPr="00921A7D">
        <w:rPr>
          <w:rFonts w:ascii="Arial" w:hAnsi="Arial" w:cs="Arial"/>
          <w:b/>
          <w:bCs/>
          <w:color w:val="000000"/>
        </w:rPr>
        <w:t xml:space="preserve"> </w:t>
      </w:r>
      <w:r w:rsidRPr="00921A7D">
        <w:rPr>
          <w:rFonts w:ascii="Arial" w:hAnsi="Arial" w:cs="Arial"/>
          <w:color w:val="000000"/>
        </w:rPr>
        <w:t xml:space="preserve">días del mes de </w:t>
      </w:r>
      <w:r w:rsidR="00B1476C" w:rsidRPr="00921A7D">
        <w:rPr>
          <w:rFonts w:ascii="Arial" w:hAnsi="Arial" w:cs="Arial"/>
          <w:color w:val="000000"/>
        </w:rPr>
        <w:t>noviembre</w:t>
      </w:r>
      <w:r w:rsidRPr="00921A7D">
        <w:rPr>
          <w:rFonts w:ascii="Arial" w:hAnsi="Arial" w:cs="Arial"/>
          <w:color w:val="000000"/>
        </w:rPr>
        <w:t xml:space="preserve"> del año dos mil veinticuatro.</w:t>
      </w:r>
    </w:p>
    <w:p w14:paraId="4006D46B" w14:textId="77777777" w:rsidR="005F0F9B" w:rsidRPr="00921A7D" w:rsidRDefault="005F0F9B" w:rsidP="0022538C">
      <w:pPr>
        <w:autoSpaceDE w:val="0"/>
        <w:autoSpaceDN w:val="0"/>
        <w:adjustRightInd w:val="0"/>
        <w:spacing w:line="276" w:lineRule="auto"/>
        <w:jc w:val="center"/>
        <w:rPr>
          <w:rFonts w:ascii="Arial" w:hAnsi="Arial" w:cs="Arial"/>
          <w:b/>
          <w:bCs/>
          <w:color w:val="000000"/>
        </w:rPr>
      </w:pPr>
    </w:p>
    <w:p w14:paraId="137A032A" w14:textId="5DFA0F94" w:rsidR="0011052F" w:rsidRDefault="0011052F" w:rsidP="0022538C">
      <w:pPr>
        <w:autoSpaceDE w:val="0"/>
        <w:autoSpaceDN w:val="0"/>
        <w:adjustRightInd w:val="0"/>
        <w:spacing w:line="276" w:lineRule="auto"/>
        <w:jc w:val="center"/>
        <w:rPr>
          <w:rFonts w:ascii="Arial" w:hAnsi="Arial" w:cs="Arial"/>
          <w:b/>
          <w:bCs/>
          <w:color w:val="000000"/>
        </w:rPr>
      </w:pPr>
      <w:r w:rsidRPr="00921A7D">
        <w:rPr>
          <w:rFonts w:ascii="Arial" w:hAnsi="Arial" w:cs="Arial"/>
          <w:b/>
          <w:bCs/>
          <w:color w:val="000000"/>
        </w:rPr>
        <w:t>A T E N T A M E N T E</w:t>
      </w:r>
      <w:r w:rsidR="00921A7D">
        <w:rPr>
          <w:rFonts w:ascii="Arial" w:hAnsi="Arial" w:cs="Arial"/>
          <w:b/>
          <w:bCs/>
          <w:color w:val="000000"/>
        </w:rPr>
        <w:t>:</w:t>
      </w:r>
    </w:p>
    <w:p w14:paraId="5D3488EA" w14:textId="77777777" w:rsidR="00921A7D" w:rsidRPr="00921A7D" w:rsidRDefault="00921A7D" w:rsidP="0022538C">
      <w:pPr>
        <w:autoSpaceDE w:val="0"/>
        <w:autoSpaceDN w:val="0"/>
        <w:adjustRightInd w:val="0"/>
        <w:spacing w:line="276" w:lineRule="auto"/>
        <w:jc w:val="center"/>
        <w:rPr>
          <w:rFonts w:ascii="Arial" w:hAnsi="Arial" w:cs="Arial"/>
          <w:b/>
          <w:bCs/>
          <w:color w:val="000000"/>
        </w:rPr>
      </w:pPr>
    </w:p>
    <w:bookmarkEnd w:id="1"/>
    <w:p w14:paraId="1F64ADFD" w14:textId="77777777" w:rsidR="00921A7D" w:rsidRPr="00921A7D" w:rsidRDefault="00921A7D" w:rsidP="00921A7D">
      <w:pPr>
        <w:spacing w:line="360" w:lineRule="auto"/>
        <w:jc w:val="center"/>
        <w:rPr>
          <w:rFonts w:ascii="Arial" w:eastAsia="Century Gothic" w:hAnsi="Arial" w:cs="Arial"/>
          <w:b/>
        </w:rPr>
      </w:pPr>
    </w:p>
    <w:p w14:paraId="74738538" w14:textId="77777777" w:rsidR="00921A7D" w:rsidRPr="00921A7D" w:rsidRDefault="00921A7D" w:rsidP="00921A7D">
      <w:pPr>
        <w:spacing w:line="360" w:lineRule="auto"/>
        <w:jc w:val="center"/>
        <w:rPr>
          <w:rFonts w:ascii="Arial" w:eastAsia="Century Gothic" w:hAnsi="Arial" w:cs="Arial"/>
          <w:b/>
        </w:rPr>
      </w:pPr>
      <w:proofErr w:type="spellStart"/>
      <w:r w:rsidRPr="00921A7D">
        <w:rPr>
          <w:rFonts w:ascii="Arial" w:eastAsia="Century Gothic" w:hAnsi="Arial" w:cs="Arial"/>
          <w:b/>
        </w:rPr>
        <w:t>Dip</w:t>
      </w:r>
      <w:proofErr w:type="spellEnd"/>
      <w:r w:rsidRPr="00921A7D">
        <w:rPr>
          <w:rFonts w:ascii="Arial" w:eastAsia="Century Gothic" w:hAnsi="Arial" w:cs="Arial"/>
          <w:b/>
        </w:rPr>
        <w:t>. Pedro Torres Estrada.</w:t>
      </w: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921A7D" w:rsidRPr="00921A7D" w14:paraId="23912F4E" w14:textId="77777777" w:rsidTr="00A9797F">
        <w:trPr>
          <w:trHeight w:val="1530"/>
        </w:trPr>
        <w:tc>
          <w:tcPr>
            <w:tcW w:w="4427"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ECAAC09" w14:textId="77777777" w:rsidR="00921A7D" w:rsidRPr="00921A7D" w:rsidRDefault="00921A7D" w:rsidP="00A9797F">
            <w:pPr>
              <w:spacing w:line="360" w:lineRule="auto"/>
              <w:jc w:val="center"/>
              <w:rPr>
                <w:rFonts w:ascii="Arial" w:eastAsia="Century Gothic" w:hAnsi="Arial" w:cs="Arial"/>
                <w:b/>
                <w:shd w:val="clear" w:color="auto" w:fill="FEFFFF"/>
              </w:rPr>
            </w:pPr>
          </w:p>
          <w:p w14:paraId="10367DF5" w14:textId="77777777" w:rsidR="00921A7D" w:rsidRPr="00921A7D" w:rsidRDefault="00921A7D" w:rsidP="00A9797F">
            <w:pPr>
              <w:spacing w:line="360" w:lineRule="auto"/>
              <w:jc w:val="center"/>
              <w:rPr>
                <w:rFonts w:ascii="Arial" w:eastAsia="Century Gothic" w:hAnsi="Arial" w:cs="Arial"/>
                <w:b/>
                <w:shd w:val="clear" w:color="auto" w:fill="FEFFFF"/>
              </w:rPr>
            </w:pPr>
          </w:p>
          <w:p w14:paraId="158AEBAF" w14:textId="77777777" w:rsidR="00921A7D" w:rsidRPr="00921A7D" w:rsidRDefault="00921A7D" w:rsidP="00A9797F">
            <w:pPr>
              <w:spacing w:line="360" w:lineRule="auto"/>
              <w:rPr>
                <w:rFonts w:ascii="Arial" w:eastAsia="Century Gothic" w:hAnsi="Arial" w:cs="Arial"/>
                <w:b/>
                <w:shd w:val="clear" w:color="auto" w:fill="FEFFFF"/>
              </w:rPr>
            </w:pPr>
            <w:proofErr w:type="spellStart"/>
            <w:r w:rsidRPr="00921A7D">
              <w:rPr>
                <w:rFonts w:ascii="Arial" w:eastAsia="Century Gothic" w:hAnsi="Arial" w:cs="Arial"/>
                <w:b/>
                <w:shd w:val="clear" w:color="auto" w:fill="FEFFFF"/>
              </w:rPr>
              <w:t>Dip</w:t>
            </w:r>
            <w:proofErr w:type="spellEnd"/>
            <w:r w:rsidRPr="00921A7D">
              <w:rPr>
                <w:rFonts w:ascii="Arial" w:eastAsia="Century Gothic" w:hAnsi="Arial" w:cs="Arial"/>
                <w:b/>
                <w:shd w:val="clear" w:color="auto" w:fill="FEFFFF"/>
              </w:rPr>
              <w:t>. Edin Cuauhtémoc Estrada Sotelo</w:t>
            </w:r>
          </w:p>
        </w:tc>
        <w:tc>
          <w:tcPr>
            <w:tcW w:w="4411"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0D805D96" w14:textId="77777777" w:rsidR="00921A7D" w:rsidRPr="00921A7D" w:rsidRDefault="00921A7D" w:rsidP="00A9797F">
            <w:pPr>
              <w:spacing w:line="360" w:lineRule="auto"/>
              <w:jc w:val="center"/>
              <w:rPr>
                <w:rFonts w:ascii="Arial" w:eastAsia="Century Gothic" w:hAnsi="Arial" w:cs="Arial"/>
                <w:b/>
                <w:shd w:val="clear" w:color="auto" w:fill="FEFFFF"/>
              </w:rPr>
            </w:pPr>
          </w:p>
          <w:p w14:paraId="10930223" w14:textId="77777777" w:rsidR="00921A7D" w:rsidRPr="00921A7D" w:rsidRDefault="00921A7D" w:rsidP="00A9797F">
            <w:pPr>
              <w:spacing w:line="360" w:lineRule="auto"/>
              <w:jc w:val="center"/>
              <w:rPr>
                <w:rFonts w:ascii="Arial" w:eastAsia="Century Gothic" w:hAnsi="Arial" w:cs="Arial"/>
                <w:b/>
                <w:shd w:val="clear" w:color="auto" w:fill="FEFFFF"/>
              </w:rPr>
            </w:pPr>
          </w:p>
          <w:p w14:paraId="72C5A67E" w14:textId="77777777" w:rsidR="00921A7D" w:rsidRPr="00921A7D" w:rsidRDefault="00921A7D" w:rsidP="00A9797F">
            <w:pPr>
              <w:spacing w:line="360" w:lineRule="auto"/>
              <w:jc w:val="center"/>
              <w:rPr>
                <w:rFonts w:ascii="Arial" w:eastAsia="Century Gothic" w:hAnsi="Arial" w:cs="Arial"/>
                <w:b/>
                <w:shd w:val="clear" w:color="auto" w:fill="FEFFFF"/>
              </w:rPr>
            </w:pPr>
            <w:proofErr w:type="spellStart"/>
            <w:r w:rsidRPr="00921A7D">
              <w:rPr>
                <w:rFonts w:ascii="Arial" w:eastAsia="Century Gothic" w:hAnsi="Arial" w:cs="Arial"/>
                <w:b/>
                <w:shd w:val="clear" w:color="auto" w:fill="FEFFFF"/>
              </w:rPr>
              <w:t>Dip</w:t>
            </w:r>
            <w:proofErr w:type="spellEnd"/>
            <w:r w:rsidRPr="00921A7D">
              <w:rPr>
                <w:rFonts w:ascii="Arial" w:eastAsia="Century Gothic" w:hAnsi="Arial" w:cs="Arial"/>
                <w:b/>
                <w:shd w:val="clear" w:color="auto" w:fill="FEFFFF"/>
              </w:rPr>
              <w:t>. Magdalena Rentería Pérez</w:t>
            </w:r>
          </w:p>
        </w:tc>
      </w:tr>
      <w:tr w:rsidR="00921A7D" w:rsidRPr="00921A7D" w14:paraId="01964C09" w14:textId="77777777" w:rsidTr="00A9797F">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13D07CCF" w14:textId="77777777" w:rsidR="00921A7D" w:rsidRPr="00921A7D" w:rsidRDefault="00921A7D" w:rsidP="00A9797F">
            <w:pPr>
              <w:spacing w:line="360" w:lineRule="auto"/>
              <w:jc w:val="center"/>
              <w:rPr>
                <w:rFonts w:ascii="Arial" w:eastAsia="Century Gothic" w:hAnsi="Arial" w:cs="Arial"/>
                <w:b/>
                <w:shd w:val="clear" w:color="auto" w:fill="FEFFFF"/>
              </w:rPr>
            </w:pPr>
          </w:p>
          <w:p w14:paraId="4050D0E3" w14:textId="77777777" w:rsidR="00921A7D" w:rsidRPr="00921A7D" w:rsidRDefault="00921A7D" w:rsidP="00A9797F">
            <w:pPr>
              <w:spacing w:line="360" w:lineRule="auto"/>
              <w:rPr>
                <w:rFonts w:ascii="Arial" w:eastAsia="Century Gothic" w:hAnsi="Arial" w:cs="Arial"/>
                <w:b/>
                <w:shd w:val="clear" w:color="auto" w:fill="FEFFFF"/>
              </w:rPr>
            </w:pPr>
            <w:proofErr w:type="spellStart"/>
            <w:r w:rsidRPr="00921A7D">
              <w:rPr>
                <w:rFonts w:ascii="Arial" w:eastAsia="Century Gothic" w:hAnsi="Arial" w:cs="Arial"/>
                <w:b/>
                <w:shd w:val="clear" w:color="auto" w:fill="FEFFFF"/>
              </w:rPr>
              <w:t>Dip</w:t>
            </w:r>
            <w:proofErr w:type="spellEnd"/>
            <w:r w:rsidRPr="00921A7D">
              <w:rPr>
                <w:rFonts w:ascii="Arial" w:eastAsia="Century Gothic" w:hAnsi="Arial" w:cs="Arial"/>
                <w:b/>
                <w:shd w:val="clear" w:color="auto" w:fill="FEFFFF"/>
              </w:rPr>
              <w:t>. Rosana Díaz Reyes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776A7D70" w14:textId="77777777" w:rsidR="00921A7D" w:rsidRPr="00921A7D" w:rsidRDefault="00921A7D" w:rsidP="00A9797F">
            <w:pPr>
              <w:spacing w:line="360" w:lineRule="auto"/>
              <w:jc w:val="center"/>
              <w:rPr>
                <w:rFonts w:ascii="Arial" w:eastAsia="Century Gothic" w:hAnsi="Arial" w:cs="Arial"/>
                <w:b/>
                <w:shd w:val="clear" w:color="auto" w:fill="FEFFFF"/>
              </w:rPr>
            </w:pPr>
            <w:r w:rsidRPr="00921A7D">
              <w:rPr>
                <w:rFonts w:ascii="Arial" w:eastAsia="Century Gothic" w:hAnsi="Arial" w:cs="Arial"/>
                <w:b/>
                <w:shd w:val="clear" w:color="auto" w:fill="FEFFFF"/>
              </w:rPr>
              <w:t xml:space="preserve"> </w:t>
            </w:r>
          </w:p>
          <w:p w14:paraId="4B5B1DE2" w14:textId="77777777" w:rsidR="00921A7D" w:rsidRPr="00921A7D" w:rsidRDefault="00921A7D" w:rsidP="00A9797F">
            <w:pPr>
              <w:spacing w:line="360" w:lineRule="auto"/>
              <w:jc w:val="center"/>
              <w:rPr>
                <w:rFonts w:ascii="Arial" w:eastAsia="Century Gothic" w:hAnsi="Arial" w:cs="Arial"/>
                <w:b/>
                <w:shd w:val="clear" w:color="auto" w:fill="FEFFFF"/>
              </w:rPr>
            </w:pPr>
            <w:proofErr w:type="spellStart"/>
            <w:r w:rsidRPr="00921A7D">
              <w:rPr>
                <w:rFonts w:ascii="Arial" w:eastAsia="Century Gothic" w:hAnsi="Arial" w:cs="Arial"/>
                <w:b/>
                <w:shd w:val="clear" w:color="auto" w:fill="FEFFFF"/>
              </w:rPr>
              <w:t>Dip</w:t>
            </w:r>
            <w:proofErr w:type="spellEnd"/>
            <w:r w:rsidRPr="00921A7D">
              <w:rPr>
                <w:rFonts w:ascii="Arial" w:eastAsia="Century Gothic" w:hAnsi="Arial" w:cs="Arial"/>
                <w:b/>
                <w:shd w:val="clear" w:color="auto" w:fill="FEFFFF"/>
              </w:rPr>
              <w:t>. Elizabeth Guzmán Argueta</w:t>
            </w:r>
          </w:p>
        </w:tc>
      </w:tr>
      <w:tr w:rsidR="00921A7D" w:rsidRPr="00921A7D" w14:paraId="7B9A31ED" w14:textId="77777777" w:rsidTr="00A9797F">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7DEF9C14" w14:textId="77777777" w:rsidR="00921A7D" w:rsidRPr="00921A7D" w:rsidRDefault="00921A7D" w:rsidP="00A9797F">
            <w:pPr>
              <w:spacing w:line="360" w:lineRule="auto"/>
              <w:rPr>
                <w:rFonts w:ascii="Arial" w:eastAsia="Century Gothic" w:hAnsi="Arial" w:cs="Arial"/>
                <w:b/>
                <w:shd w:val="clear" w:color="auto" w:fill="FEFFFF"/>
              </w:rPr>
            </w:pPr>
            <w:proofErr w:type="spellStart"/>
            <w:r w:rsidRPr="00921A7D">
              <w:rPr>
                <w:rFonts w:ascii="Arial" w:eastAsia="Century Gothic" w:hAnsi="Arial" w:cs="Arial"/>
                <w:b/>
                <w:shd w:val="clear" w:color="auto" w:fill="FEFFFF"/>
              </w:rPr>
              <w:t>Dip</w:t>
            </w:r>
            <w:proofErr w:type="spellEnd"/>
            <w:r w:rsidRPr="00921A7D">
              <w:rPr>
                <w:rFonts w:ascii="Arial" w:eastAsia="Century Gothic" w:hAnsi="Arial" w:cs="Arial"/>
                <w:b/>
                <w:shd w:val="clear" w:color="auto" w:fill="FEFFFF"/>
              </w:rPr>
              <w:t>. Edith Palma Ontiveros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6C43AEEA" w14:textId="77777777" w:rsidR="00921A7D" w:rsidRPr="00921A7D" w:rsidRDefault="00921A7D" w:rsidP="00A9797F">
            <w:pPr>
              <w:spacing w:line="360" w:lineRule="auto"/>
              <w:jc w:val="center"/>
              <w:rPr>
                <w:rFonts w:ascii="Arial" w:eastAsia="Century Gothic" w:hAnsi="Arial" w:cs="Arial"/>
                <w:b/>
                <w:shd w:val="clear" w:color="auto" w:fill="FEFFFF"/>
              </w:rPr>
            </w:pPr>
            <w:proofErr w:type="spellStart"/>
            <w:r w:rsidRPr="00921A7D">
              <w:rPr>
                <w:rFonts w:ascii="Arial" w:eastAsia="Century Gothic" w:hAnsi="Arial" w:cs="Arial"/>
                <w:b/>
                <w:shd w:val="clear" w:color="auto" w:fill="FEFFFF"/>
              </w:rPr>
              <w:t>Dip</w:t>
            </w:r>
            <w:proofErr w:type="spellEnd"/>
            <w:r w:rsidRPr="00921A7D">
              <w:rPr>
                <w:rFonts w:ascii="Arial" w:eastAsia="Century Gothic" w:hAnsi="Arial" w:cs="Arial"/>
                <w:b/>
                <w:shd w:val="clear" w:color="auto" w:fill="FEFFFF"/>
              </w:rPr>
              <w:t>. Herminia Gómez Carrasco</w:t>
            </w:r>
          </w:p>
        </w:tc>
      </w:tr>
      <w:tr w:rsidR="00921A7D" w:rsidRPr="00921A7D" w14:paraId="58A8DBCF" w14:textId="77777777" w:rsidTr="00A9797F">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657A5917" w14:textId="77777777" w:rsidR="00921A7D" w:rsidRPr="00921A7D" w:rsidRDefault="00921A7D" w:rsidP="00A9797F">
            <w:pPr>
              <w:spacing w:line="360" w:lineRule="auto"/>
              <w:rPr>
                <w:rFonts w:ascii="Arial" w:eastAsia="Century Gothic" w:hAnsi="Arial" w:cs="Arial"/>
                <w:b/>
                <w:shd w:val="clear" w:color="auto" w:fill="FEFFFF"/>
              </w:rPr>
            </w:pPr>
          </w:p>
          <w:p w14:paraId="46F51FD5" w14:textId="77777777" w:rsidR="00921A7D" w:rsidRPr="00921A7D" w:rsidRDefault="00921A7D" w:rsidP="00A9797F">
            <w:pPr>
              <w:spacing w:line="360" w:lineRule="auto"/>
              <w:rPr>
                <w:rFonts w:ascii="Arial" w:eastAsia="Century Gothic" w:hAnsi="Arial" w:cs="Arial"/>
                <w:b/>
                <w:shd w:val="clear" w:color="auto" w:fill="FEFFFF"/>
              </w:rPr>
            </w:pPr>
            <w:proofErr w:type="spellStart"/>
            <w:r w:rsidRPr="00921A7D">
              <w:rPr>
                <w:rFonts w:ascii="Arial" w:eastAsia="Century Gothic" w:hAnsi="Arial" w:cs="Arial"/>
                <w:b/>
                <w:shd w:val="clear" w:color="auto" w:fill="FEFFFF"/>
              </w:rPr>
              <w:t>Dip</w:t>
            </w:r>
            <w:proofErr w:type="spellEnd"/>
            <w:r w:rsidRPr="00921A7D">
              <w:rPr>
                <w:rFonts w:ascii="Arial" w:eastAsia="Century Gothic" w:hAnsi="Arial" w:cs="Arial"/>
                <w:b/>
                <w:shd w:val="clear" w:color="auto" w:fill="FEFFFF"/>
              </w:rPr>
              <w:t>. Leticia Ortega Máynez</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44D2F915" w14:textId="77777777" w:rsidR="00921A7D" w:rsidRPr="00921A7D" w:rsidRDefault="00921A7D" w:rsidP="00A9797F">
            <w:pPr>
              <w:spacing w:line="360" w:lineRule="auto"/>
              <w:jc w:val="center"/>
              <w:rPr>
                <w:rFonts w:ascii="Arial" w:eastAsia="Century Gothic" w:hAnsi="Arial" w:cs="Arial"/>
                <w:b/>
                <w:shd w:val="clear" w:color="auto" w:fill="FEFFFF"/>
              </w:rPr>
            </w:pPr>
          </w:p>
          <w:p w14:paraId="0B3CF1D6" w14:textId="77777777" w:rsidR="00921A7D" w:rsidRDefault="00921A7D" w:rsidP="00A9797F">
            <w:pPr>
              <w:spacing w:line="360" w:lineRule="auto"/>
              <w:jc w:val="center"/>
              <w:rPr>
                <w:rFonts w:ascii="Arial" w:eastAsia="Century Gothic" w:hAnsi="Arial" w:cs="Arial"/>
                <w:b/>
                <w:shd w:val="clear" w:color="auto" w:fill="FEFFFF"/>
              </w:rPr>
            </w:pPr>
            <w:proofErr w:type="spellStart"/>
            <w:r w:rsidRPr="00921A7D">
              <w:rPr>
                <w:rFonts w:ascii="Arial" w:eastAsia="Century Gothic" w:hAnsi="Arial" w:cs="Arial"/>
                <w:b/>
                <w:shd w:val="clear" w:color="auto" w:fill="FEFFFF"/>
              </w:rPr>
              <w:t>Dip</w:t>
            </w:r>
            <w:proofErr w:type="spellEnd"/>
            <w:r w:rsidRPr="00921A7D">
              <w:rPr>
                <w:rFonts w:ascii="Arial" w:eastAsia="Century Gothic" w:hAnsi="Arial" w:cs="Arial"/>
                <w:b/>
                <w:shd w:val="clear" w:color="auto" w:fill="FEFFFF"/>
              </w:rPr>
              <w:t>. María Antonieta Pérez Reyes</w:t>
            </w:r>
          </w:p>
          <w:p w14:paraId="62CFCAED" w14:textId="52B52AEF" w:rsidR="00921A7D" w:rsidRPr="00921A7D" w:rsidRDefault="00921A7D" w:rsidP="00921A7D">
            <w:pPr>
              <w:ind w:firstLine="708"/>
              <w:rPr>
                <w:rFonts w:ascii="Arial" w:eastAsia="Century Gothic" w:hAnsi="Arial" w:cs="Arial"/>
              </w:rPr>
            </w:pPr>
          </w:p>
        </w:tc>
      </w:tr>
      <w:tr w:rsidR="00921A7D" w:rsidRPr="00921A7D" w14:paraId="75B6297F" w14:textId="77777777" w:rsidTr="00A9797F">
        <w:trPr>
          <w:trHeight w:val="201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2A694FA4" w14:textId="77777777" w:rsidR="00921A7D" w:rsidRPr="00921A7D" w:rsidRDefault="00921A7D" w:rsidP="00A9797F">
            <w:pPr>
              <w:spacing w:line="360" w:lineRule="auto"/>
              <w:rPr>
                <w:rFonts w:ascii="Arial" w:eastAsia="Century Gothic" w:hAnsi="Arial" w:cs="Arial"/>
                <w:b/>
                <w:shd w:val="clear" w:color="auto" w:fill="FEFFFF"/>
              </w:rPr>
            </w:pPr>
          </w:p>
          <w:p w14:paraId="252106B8" w14:textId="77777777" w:rsidR="00921A7D" w:rsidRPr="00921A7D" w:rsidRDefault="00921A7D" w:rsidP="00A9797F">
            <w:pPr>
              <w:spacing w:line="360" w:lineRule="auto"/>
              <w:rPr>
                <w:rFonts w:ascii="Arial" w:eastAsia="Century Gothic" w:hAnsi="Arial" w:cs="Arial"/>
                <w:b/>
                <w:shd w:val="clear" w:color="auto" w:fill="FEFFFF"/>
              </w:rPr>
            </w:pPr>
            <w:proofErr w:type="spellStart"/>
            <w:r w:rsidRPr="00921A7D">
              <w:rPr>
                <w:rFonts w:ascii="Arial" w:eastAsia="Century Gothic" w:hAnsi="Arial" w:cs="Arial"/>
                <w:b/>
                <w:shd w:val="clear" w:color="auto" w:fill="FEFFFF"/>
              </w:rPr>
              <w:t>Dip</w:t>
            </w:r>
            <w:proofErr w:type="spellEnd"/>
            <w:r w:rsidRPr="00921A7D">
              <w:rPr>
                <w:rFonts w:ascii="Arial" w:eastAsia="Century Gothic" w:hAnsi="Arial" w:cs="Arial"/>
                <w:b/>
                <w:shd w:val="clear" w:color="auto" w:fill="FEFFFF"/>
              </w:rPr>
              <w:t>. Jael Argüelles Díaz</w:t>
            </w:r>
          </w:p>
          <w:p w14:paraId="7F0B86E6" w14:textId="77777777" w:rsidR="00921A7D" w:rsidRPr="00921A7D" w:rsidRDefault="00921A7D" w:rsidP="00A9797F">
            <w:pPr>
              <w:spacing w:line="360" w:lineRule="auto"/>
              <w:rPr>
                <w:rFonts w:ascii="Arial" w:eastAsia="Century Gothic" w:hAnsi="Arial" w:cs="Arial"/>
                <w:b/>
                <w:shd w:val="clear" w:color="auto" w:fill="FEFFFF"/>
              </w:rPr>
            </w:pPr>
          </w:p>
          <w:p w14:paraId="78431F63" w14:textId="77777777" w:rsidR="00921A7D" w:rsidRPr="00921A7D" w:rsidRDefault="00921A7D" w:rsidP="00A9797F">
            <w:pPr>
              <w:spacing w:line="360" w:lineRule="auto"/>
              <w:rPr>
                <w:rFonts w:ascii="Arial" w:eastAsia="Century Gothic" w:hAnsi="Arial" w:cs="Arial"/>
                <w:b/>
                <w:shd w:val="clear" w:color="auto" w:fill="FEFFFF"/>
              </w:rPr>
            </w:pP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4218004B" w14:textId="77777777" w:rsidR="00921A7D" w:rsidRPr="00921A7D" w:rsidRDefault="00921A7D" w:rsidP="00A9797F">
            <w:pPr>
              <w:spacing w:line="360" w:lineRule="auto"/>
              <w:rPr>
                <w:rFonts w:ascii="Arial" w:eastAsia="Century Gothic" w:hAnsi="Arial" w:cs="Arial"/>
                <w:b/>
                <w:shd w:val="clear" w:color="auto" w:fill="FEFFFF"/>
              </w:rPr>
            </w:pPr>
            <w:r w:rsidRPr="00921A7D">
              <w:rPr>
                <w:rFonts w:ascii="Arial" w:eastAsia="Century Gothic" w:hAnsi="Arial" w:cs="Arial"/>
                <w:b/>
                <w:shd w:val="clear" w:color="auto" w:fill="FEFFFF"/>
              </w:rPr>
              <w:t xml:space="preserve"> </w:t>
            </w:r>
          </w:p>
          <w:p w14:paraId="201B9ACF" w14:textId="77777777" w:rsidR="00921A7D" w:rsidRPr="00921A7D" w:rsidRDefault="00921A7D" w:rsidP="00A9797F">
            <w:pPr>
              <w:spacing w:line="360" w:lineRule="auto"/>
              <w:rPr>
                <w:rFonts w:ascii="Arial" w:eastAsia="Century Gothic" w:hAnsi="Arial" w:cs="Arial"/>
                <w:b/>
                <w:shd w:val="clear" w:color="auto" w:fill="FEFFFF"/>
              </w:rPr>
            </w:pPr>
            <w:r w:rsidRPr="00921A7D">
              <w:rPr>
                <w:rFonts w:ascii="Arial" w:eastAsia="Century Gothic" w:hAnsi="Arial" w:cs="Arial"/>
                <w:b/>
                <w:shd w:val="clear" w:color="auto" w:fill="FEFFFF"/>
              </w:rPr>
              <w:t xml:space="preserve">   </w:t>
            </w:r>
            <w:proofErr w:type="spellStart"/>
            <w:r w:rsidRPr="00921A7D">
              <w:rPr>
                <w:rFonts w:ascii="Arial" w:eastAsia="Century Gothic" w:hAnsi="Arial" w:cs="Arial"/>
                <w:b/>
                <w:shd w:val="clear" w:color="auto" w:fill="FEFFFF"/>
              </w:rPr>
              <w:t>Dip</w:t>
            </w:r>
            <w:proofErr w:type="spellEnd"/>
            <w:r w:rsidRPr="00921A7D">
              <w:rPr>
                <w:rFonts w:ascii="Arial" w:eastAsia="Century Gothic" w:hAnsi="Arial" w:cs="Arial"/>
                <w:b/>
                <w:shd w:val="clear" w:color="auto" w:fill="FEFFFF"/>
              </w:rPr>
              <w:t>. Brenda Francisca Ríos Prieto</w:t>
            </w:r>
          </w:p>
          <w:p w14:paraId="5E0EB803" w14:textId="77777777" w:rsidR="00921A7D" w:rsidRPr="00921A7D" w:rsidRDefault="00921A7D" w:rsidP="00A9797F">
            <w:pPr>
              <w:spacing w:line="360" w:lineRule="auto"/>
              <w:jc w:val="center"/>
              <w:rPr>
                <w:rFonts w:ascii="Arial" w:eastAsia="Century Gothic" w:hAnsi="Arial" w:cs="Arial"/>
                <w:b/>
                <w:shd w:val="clear" w:color="auto" w:fill="FEFFFF"/>
              </w:rPr>
            </w:pPr>
            <w:r w:rsidRPr="00921A7D">
              <w:rPr>
                <w:rFonts w:ascii="Arial" w:eastAsia="Century Gothic" w:hAnsi="Arial" w:cs="Arial"/>
                <w:b/>
                <w:shd w:val="clear" w:color="auto" w:fill="FEFFFF"/>
              </w:rPr>
              <w:t xml:space="preserve"> </w:t>
            </w:r>
          </w:p>
        </w:tc>
      </w:tr>
      <w:tr w:rsidR="00921A7D" w:rsidRPr="00921A7D" w14:paraId="35747D26" w14:textId="77777777" w:rsidTr="00A9797F">
        <w:trPr>
          <w:trHeight w:val="930"/>
        </w:trPr>
        <w:tc>
          <w:tcPr>
            <w:tcW w:w="8838" w:type="dxa"/>
            <w:gridSpan w:val="2"/>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6862E83E" w14:textId="77777777" w:rsidR="00921A7D" w:rsidRPr="00921A7D" w:rsidRDefault="00921A7D" w:rsidP="00A9797F">
            <w:pPr>
              <w:tabs>
                <w:tab w:val="left" w:pos="5235"/>
              </w:tabs>
              <w:spacing w:line="360" w:lineRule="auto"/>
              <w:rPr>
                <w:rFonts w:ascii="Arial" w:eastAsia="Century Gothic" w:hAnsi="Arial" w:cs="Arial"/>
                <w:b/>
                <w:shd w:val="clear" w:color="auto" w:fill="FEFFFF"/>
              </w:rPr>
            </w:pPr>
            <w:proofErr w:type="spellStart"/>
            <w:r w:rsidRPr="00921A7D">
              <w:rPr>
                <w:rFonts w:ascii="Arial" w:eastAsia="Century Gothic" w:hAnsi="Arial" w:cs="Arial"/>
                <w:b/>
                <w:shd w:val="clear" w:color="auto" w:fill="FEFFFF"/>
              </w:rPr>
              <w:t>Dip</w:t>
            </w:r>
            <w:proofErr w:type="spellEnd"/>
            <w:r w:rsidRPr="00921A7D">
              <w:rPr>
                <w:rFonts w:ascii="Arial" w:eastAsia="Century Gothic" w:hAnsi="Arial" w:cs="Arial"/>
                <w:b/>
                <w:shd w:val="clear" w:color="auto" w:fill="FEFFFF"/>
              </w:rPr>
              <w:t>. Oscar Daniel Avitia Arellanes</w:t>
            </w:r>
            <w:r w:rsidRPr="00921A7D">
              <w:rPr>
                <w:rFonts w:ascii="Arial" w:eastAsia="Century Gothic" w:hAnsi="Arial" w:cs="Arial"/>
                <w:b/>
                <w:shd w:val="clear" w:color="auto" w:fill="FEFFFF"/>
              </w:rPr>
              <w:tab/>
            </w:r>
          </w:p>
        </w:tc>
      </w:tr>
    </w:tbl>
    <w:p w14:paraId="6AF97AF9" w14:textId="62D620D5" w:rsidR="006F58FC" w:rsidRDefault="006F58FC" w:rsidP="004243D8">
      <w:pPr>
        <w:autoSpaceDE w:val="0"/>
        <w:autoSpaceDN w:val="0"/>
        <w:adjustRightInd w:val="0"/>
        <w:spacing w:line="360" w:lineRule="auto"/>
        <w:jc w:val="center"/>
        <w:rPr>
          <w:rFonts w:ascii="Arial" w:hAnsi="Arial" w:cs="Arial"/>
          <w:b/>
          <w:bCs/>
          <w:color w:val="000000"/>
        </w:rPr>
      </w:pPr>
    </w:p>
    <w:p w14:paraId="4BB674BA" w14:textId="702783DB" w:rsidR="00921A7D" w:rsidRDefault="00921A7D" w:rsidP="004243D8">
      <w:pPr>
        <w:autoSpaceDE w:val="0"/>
        <w:autoSpaceDN w:val="0"/>
        <w:adjustRightInd w:val="0"/>
        <w:spacing w:line="360" w:lineRule="auto"/>
        <w:jc w:val="center"/>
        <w:rPr>
          <w:rFonts w:ascii="Arial" w:hAnsi="Arial" w:cs="Arial"/>
          <w:b/>
          <w:bCs/>
          <w:color w:val="000000"/>
        </w:rPr>
      </w:pPr>
    </w:p>
    <w:p w14:paraId="32049ECD" w14:textId="7E721B57" w:rsidR="00921A7D" w:rsidRDefault="00921A7D" w:rsidP="004243D8">
      <w:pPr>
        <w:autoSpaceDE w:val="0"/>
        <w:autoSpaceDN w:val="0"/>
        <w:adjustRightInd w:val="0"/>
        <w:spacing w:line="360" w:lineRule="auto"/>
        <w:jc w:val="center"/>
        <w:rPr>
          <w:rFonts w:ascii="Arial" w:hAnsi="Arial" w:cs="Arial"/>
          <w:b/>
          <w:bCs/>
          <w:color w:val="000000"/>
        </w:rPr>
      </w:pPr>
    </w:p>
    <w:p w14:paraId="7EBFCAAF" w14:textId="36FA6CBC" w:rsidR="00921A7D" w:rsidRPr="00921A7D" w:rsidRDefault="00921A7D" w:rsidP="004243D8">
      <w:pPr>
        <w:autoSpaceDE w:val="0"/>
        <w:autoSpaceDN w:val="0"/>
        <w:adjustRightInd w:val="0"/>
        <w:spacing w:line="360" w:lineRule="auto"/>
        <w:jc w:val="center"/>
        <w:rPr>
          <w:rFonts w:ascii="Arial" w:hAnsi="Arial" w:cs="Arial"/>
          <w:b/>
          <w:bCs/>
          <w:color w:val="000000"/>
        </w:rPr>
      </w:pPr>
      <w:r w:rsidRPr="00091EB1">
        <w:rPr>
          <w:noProof/>
          <w:sz w:val="24"/>
          <w:szCs w:val="24"/>
          <w:u w:val="single"/>
        </w:rPr>
        <mc:AlternateContent>
          <mc:Choice Requires="wps">
            <w:drawing>
              <wp:anchor distT="45720" distB="45720" distL="114300" distR="114300" simplePos="0" relativeHeight="251659264" behindDoc="0" locked="0" layoutInCell="1" allowOverlap="1" wp14:anchorId="5F6BED52" wp14:editId="787FA433">
                <wp:simplePos x="0" y="0"/>
                <wp:positionH relativeFrom="margin">
                  <wp:posOffset>377190</wp:posOffset>
                </wp:positionH>
                <wp:positionV relativeFrom="paragraph">
                  <wp:posOffset>419100</wp:posOffset>
                </wp:positionV>
                <wp:extent cx="5172075" cy="971550"/>
                <wp:effectExtent l="0" t="0" r="28575" b="19050"/>
                <wp:wrapTopAndBottom/>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971550"/>
                        </a:xfrm>
                        <a:prstGeom prst="rect">
                          <a:avLst/>
                        </a:prstGeom>
                        <a:solidFill>
                          <a:srgbClr val="FFFFFF"/>
                        </a:solidFill>
                        <a:ln w="9525">
                          <a:solidFill>
                            <a:srgbClr val="000000"/>
                          </a:solidFill>
                          <a:miter lim="800000"/>
                          <a:headEnd/>
                          <a:tailEnd/>
                        </a:ln>
                      </wps:spPr>
                      <wps:txbx>
                        <w:txbxContent>
                          <w:p w14:paraId="1CBD7CDF" w14:textId="6416E174" w:rsidR="00921A7D" w:rsidRPr="00921A7D" w:rsidRDefault="00921A7D" w:rsidP="00921A7D">
                            <w:pPr>
                              <w:rPr>
                                <w:rFonts w:ascii="Arial" w:hAnsi="Arial" w:cs="Arial"/>
                              </w:rPr>
                            </w:pPr>
                            <w:r w:rsidRPr="00921A7D">
                              <w:rPr>
                                <w:rFonts w:ascii="Arial" w:hAnsi="Arial" w:cs="Arial"/>
                              </w:rPr>
                              <w:t xml:space="preserve">La presente hoja de firmas corresponde a la iniciativa con carácter de decreto para adicionar y reformar </w:t>
                            </w:r>
                            <w:r w:rsidRPr="00921A7D">
                              <w:rPr>
                                <w:rFonts w:ascii="Arial" w:hAnsi="Arial" w:cs="Arial"/>
                                <w:color w:val="000000"/>
                              </w:rPr>
                              <w:t>el Código Penal del Estado, para establecer la concretización de la legítima defensa en casos de violencia de género, reforma conocida como “</w:t>
                            </w:r>
                            <w:r w:rsidRPr="00921A7D">
                              <w:rPr>
                                <w:rFonts w:ascii="Arial" w:hAnsi="Arial" w:cs="Arial"/>
                                <w:i/>
                                <w:iCs/>
                                <w:color w:val="000000"/>
                              </w:rPr>
                              <w:t>Ley Alina</w:t>
                            </w:r>
                            <w:r w:rsidRPr="00921A7D">
                              <w:rPr>
                                <w:rFonts w:ascii="Arial" w:hAnsi="Arial" w:cs="Arial"/>
                                <w:color w:val="000000"/>
                              </w:rPr>
                              <w:t>”,</w:t>
                            </w:r>
                            <w:r w:rsidRPr="00921A7D">
                              <w:rPr>
                                <w:rFonts w:ascii="Arial" w:hAnsi="Arial" w:cs="Arial"/>
                              </w:rPr>
                              <w:t xml:space="preserve">, presentada por el diputado Pedro Torres Estrada.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BED52" id="_x0000_t202" coordsize="21600,21600" o:spt="202" path="m,l,21600r21600,l21600,xe">
                <v:stroke joinstyle="miter"/>
                <v:path gradientshapeok="t" o:connecttype="rect"/>
              </v:shapetype>
              <v:shape id="Cuadro de texto 2" o:spid="_x0000_s1026" type="#_x0000_t202" style="position:absolute;left:0;text-align:left;margin-left:29.7pt;margin-top:33pt;width:407.25pt;height:7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iULKgIAAE0EAAAOAAAAZHJzL2Uyb0RvYy54bWysVNuO0zAQfUfiHyy/0yRVQ3ejpqulSxHS&#10;cpEWPmBqO42F4wm222T5esZOt1QLvCDyYNme8ZmZc2ayuhk7w47KeY225sUs50xZgVLbfc2/ftm+&#10;uuLMB7ASDFpV80fl+c365YvV0Fdqji0aqRwjEOuroa95G0JfZZkXrerAz7BXlowNug4CHd0+kw4G&#10;Qu9MNs/z19mATvYOhfKebu8mI18n/KZRInxqGq8CMzWn3EJaXVp3cc3WK6j2DvpWi1Ma8A9ZdKAt&#10;BT1D3UEAdnD6N6hOC4cemzAT2GXYNFqoVANVU+TPqnlooVepFiLH92ea/P+DFR+Pnx3TsubzYsmZ&#10;hY5E2hxAOmRSsaDGgGweaRp6X5H3Q0/+YXyDI8mdSvb9PYpvnlnctGD36tY5HFoFktIs4svs4umE&#10;4yPIbviAkqLBIWACGhvXRQ6JFUboJNfjWSLKgwm6LIvlPF+WnAmyXS+LskwaZlA9ve6dD+8Udixu&#10;au6oBRI6HO99iNlA9eQSg3k0Wm61Meng9ruNcewI1C7b9KUCnrkZywaKXs7LiYC/QuTp+xNEpwP1&#10;vdFdza/OTlBF2t5amboygDbTnlI29sRjpG4iMYy78aTLDuUjMepw6m+aR9q06H5wNlBv19x/P4BT&#10;nJn3llS5LhaLOAzpsCiJUc7cpWV3aQErCKrmgbNpuwlpgCJhFm9JvUYnYqPMUyanXKlnE9+n+YpD&#10;cXlOXr/+AuufAAAA//8DAFBLAwQUAAYACAAAACEAMhwymeAAAAAJAQAADwAAAGRycy9kb3ducmV2&#10;LnhtbEyPzU7DMBCE70i8g7VIXBB1+kOahGwqhASiNygIrm7iJhH2OthuGt6e5QTH0Yxmvik3kzVi&#10;1D70jhDmswSEpto1PbUIb68P1xmIEBU1yjjSCN86wKY6PytV0bgTvehxF1vBJRQKhdDFOBRShrrT&#10;VoWZGzSxd3DeqsjSt7Lx6sTl1shFkqTSqp54oVODvu90/bk7WoRs9TR+hO3y+b1ODyaPV+vx8csj&#10;Xl5Md7cgop7iXxh+8RkdKmbauyM1QRiEm3zFSYQ05UvsZ+tlDmKPsJjnCciqlP8fVD8AAAD//wMA&#10;UEsBAi0AFAAGAAgAAAAhALaDOJL+AAAA4QEAABMAAAAAAAAAAAAAAAAAAAAAAFtDb250ZW50X1R5&#10;cGVzXS54bWxQSwECLQAUAAYACAAAACEAOP0h/9YAAACUAQAACwAAAAAAAAAAAAAAAAAvAQAAX3Jl&#10;bHMvLnJlbHNQSwECLQAUAAYACAAAACEAOcIlCyoCAABNBAAADgAAAAAAAAAAAAAAAAAuAgAAZHJz&#10;L2Uyb0RvYy54bWxQSwECLQAUAAYACAAAACEAMhwymeAAAAAJAQAADwAAAAAAAAAAAAAAAACEBAAA&#10;ZHJzL2Rvd25yZXYueG1sUEsFBgAAAAAEAAQA8wAAAJEFAAAAAA==&#10;">
                <v:textbox>
                  <w:txbxContent>
                    <w:p w14:paraId="1CBD7CDF" w14:textId="6416E174" w:rsidR="00921A7D" w:rsidRPr="00921A7D" w:rsidRDefault="00921A7D" w:rsidP="00921A7D">
                      <w:pPr>
                        <w:rPr>
                          <w:rFonts w:ascii="Arial" w:hAnsi="Arial" w:cs="Arial"/>
                        </w:rPr>
                      </w:pPr>
                      <w:r w:rsidRPr="00921A7D">
                        <w:rPr>
                          <w:rFonts w:ascii="Arial" w:hAnsi="Arial" w:cs="Arial"/>
                        </w:rPr>
                        <w:t xml:space="preserve">La presente hoja de firmas corresponde a la iniciativa con carácter de decreto para adicionar y reformar </w:t>
                      </w:r>
                      <w:r w:rsidRPr="00921A7D">
                        <w:rPr>
                          <w:rFonts w:ascii="Arial" w:hAnsi="Arial" w:cs="Arial"/>
                          <w:color w:val="000000"/>
                        </w:rPr>
                        <w:t>el Código Penal del Estado, para establecer la concretización de la legítima defensa en casos de violencia de género, reforma conocida como “</w:t>
                      </w:r>
                      <w:r w:rsidRPr="00921A7D">
                        <w:rPr>
                          <w:rFonts w:ascii="Arial" w:hAnsi="Arial" w:cs="Arial"/>
                          <w:i/>
                          <w:iCs/>
                          <w:color w:val="000000"/>
                        </w:rPr>
                        <w:t>Ley Alina</w:t>
                      </w:r>
                      <w:proofErr w:type="gramStart"/>
                      <w:r w:rsidRPr="00921A7D">
                        <w:rPr>
                          <w:rFonts w:ascii="Arial" w:hAnsi="Arial" w:cs="Arial"/>
                          <w:color w:val="000000"/>
                        </w:rPr>
                        <w:t>”,</w:t>
                      </w:r>
                      <w:r w:rsidRPr="00921A7D">
                        <w:rPr>
                          <w:rFonts w:ascii="Arial" w:hAnsi="Arial" w:cs="Arial"/>
                        </w:rPr>
                        <w:t>,</w:t>
                      </w:r>
                      <w:proofErr w:type="gramEnd"/>
                      <w:r w:rsidRPr="00921A7D">
                        <w:rPr>
                          <w:rFonts w:ascii="Arial" w:hAnsi="Arial" w:cs="Arial"/>
                        </w:rPr>
                        <w:t xml:space="preserve"> presentada por el diputado Pedro Torres Estrada. </w:t>
                      </w:r>
                    </w:p>
                  </w:txbxContent>
                </v:textbox>
                <w10:wrap type="topAndBottom" anchorx="margin"/>
              </v:shape>
            </w:pict>
          </mc:Fallback>
        </mc:AlternateContent>
      </w:r>
    </w:p>
    <w:sectPr w:rsidR="00921A7D" w:rsidRPr="00921A7D" w:rsidSect="00921A7D">
      <w:headerReference w:type="default" r:id="rId8"/>
      <w:pgSz w:w="12240" w:h="15840"/>
      <w:pgMar w:top="354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906FB" w14:textId="77777777" w:rsidR="007F3B26" w:rsidRDefault="007F3B26" w:rsidP="007F665E">
      <w:pPr>
        <w:spacing w:after="0" w:line="240" w:lineRule="auto"/>
      </w:pPr>
      <w:r>
        <w:separator/>
      </w:r>
    </w:p>
  </w:endnote>
  <w:endnote w:type="continuationSeparator" w:id="0">
    <w:p w14:paraId="4977E3E1" w14:textId="77777777" w:rsidR="007F3B26" w:rsidRDefault="007F3B26"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7F50A" w14:textId="77777777" w:rsidR="007F3B26" w:rsidRDefault="007F3B26" w:rsidP="007F665E">
      <w:pPr>
        <w:spacing w:after="0" w:line="240" w:lineRule="auto"/>
      </w:pPr>
      <w:r>
        <w:separator/>
      </w:r>
    </w:p>
  </w:footnote>
  <w:footnote w:type="continuationSeparator" w:id="0">
    <w:p w14:paraId="555CC3D2" w14:textId="77777777" w:rsidR="007F3B26" w:rsidRDefault="007F3B26" w:rsidP="007F665E">
      <w:pPr>
        <w:spacing w:after="0" w:line="240" w:lineRule="auto"/>
      </w:pPr>
      <w:r>
        <w:continuationSeparator/>
      </w:r>
    </w:p>
  </w:footnote>
  <w:footnote w:id="1">
    <w:p w14:paraId="4C4F4244" w14:textId="1FAB2D59" w:rsidR="00313EC5" w:rsidRPr="00951543" w:rsidRDefault="00313EC5" w:rsidP="00313EC5">
      <w:pPr>
        <w:pStyle w:val="Textonotapie"/>
        <w:rPr>
          <w:sz w:val="16"/>
          <w:szCs w:val="16"/>
        </w:rPr>
      </w:pPr>
      <w:r w:rsidRPr="00951543">
        <w:rPr>
          <w:rStyle w:val="Refdenotaalpie"/>
          <w:sz w:val="16"/>
          <w:szCs w:val="16"/>
        </w:rPr>
        <w:footnoteRef/>
      </w:r>
      <w:r w:rsidRPr="00951543">
        <w:rPr>
          <w:sz w:val="16"/>
          <w:szCs w:val="16"/>
        </w:rPr>
        <w:t xml:space="preserve"> Reportaje "Mary, un caso de legítima defensa que llegó a la ONU", de </w:t>
      </w:r>
      <w:proofErr w:type="spellStart"/>
      <w:r w:rsidRPr="00951543">
        <w:rPr>
          <w:sz w:val="16"/>
          <w:szCs w:val="16"/>
        </w:rPr>
        <w:t>Sharenii</w:t>
      </w:r>
      <w:proofErr w:type="spellEnd"/>
      <w:r w:rsidRPr="00951543">
        <w:rPr>
          <w:sz w:val="16"/>
          <w:szCs w:val="16"/>
        </w:rPr>
        <w:t xml:space="preserve"> Guzmán, para la Silla Rota, publicado el 9 de julio de 2018 en: </w:t>
      </w:r>
      <w:hyperlink r:id="rId1" w:history="1">
        <w:r w:rsidRPr="00951543">
          <w:rPr>
            <w:rStyle w:val="Hipervnculo"/>
            <w:sz w:val="16"/>
            <w:szCs w:val="16"/>
          </w:rPr>
          <w:t>https://lasillarota.com/metropoli/2018/7/9/mary-un-caso-de-legitima-defensa-que-llego-la-onu-163481.html</w:t>
        </w:r>
      </w:hyperlink>
      <w:r w:rsidRPr="00951543">
        <w:rPr>
          <w:sz w:val="16"/>
          <w:szCs w:val="16"/>
        </w:rPr>
        <w:t xml:space="preserve"> </w:t>
      </w:r>
    </w:p>
  </w:footnote>
  <w:footnote w:id="2">
    <w:p w14:paraId="4BF1F063" w14:textId="0D0B72EB" w:rsidR="00951543" w:rsidRPr="00951543" w:rsidRDefault="00951543" w:rsidP="00951543">
      <w:pPr>
        <w:pStyle w:val="Textonotapie"/>
        <w:rPr>
          <w:sz w:val="16"/>
          <w:szCs w:val="16"/>
        </w:rPr>
      </w:pPr>
      <w:r w:rsidRPr="00951543">
        <w:rPr>
          <w:rStyle w:val="Refdenotaalpie"/>
          <w:sz w:val="16"/>
          <w:szCs w:val="16"/>
        </w:rPr>
        <w:footnoteRef/>
      </w:r>
      <w:r w:rsidRPr="00951543">
        <w:rPr>
          <w:sz w:val="16"/>
          <w:szCs w:val="16"/>
        </w:rPr>
        <w:t xml:space="preserve"> Reportaje" Joven de 15 años mató a su violador en defensa propia y la PGJ la investigó por </w:t>
      </w:r>
      <w:proofErr w:type="spellStart"/>
      <w:r w:rsidRPr="00951543">
        <w:rPr>
          <w:sz w:val="16"/>
          <w:szCs w:val="16"/>
        </w:rPr>
        <w:t>homicidio</w:t>
      </w:r>
      <w:proofErr w:type="gramStart"/>
      <w:r w:rsidRPr="00951543">
        <w:rPr>
          <w:sz w:val="16"/>
          <w:szCs w:val="16"/>
        </w:rPr>
        <w:t>",Aristegui</w:t>
      </w:r>
      <w:proofErr w:type="spellEnd"/>
      <w:proofErr w:type="gramEnd"/>
      <w:r w:rsidRPr="00951543">
        <w:rPr>
          <w:sz w:val="16"/>
          <w:szCs w:val="16"/>
        </w:rPr>
        <w:t xml:space="preserve"> Noticias, publicado el 27 de junio de 2017 en: </w:t>
      </w:r>
      <w:hyperlink r:id="rId2" w:history="1">
        <w:r w:rsidRPr="00951543">
          <w:rPr>
            <w:rStyle w:val="Hipervnculo"/>
            <w:sz w:val="16"/>
            <w:szCs w:val="16"/>
          </w:rPr>
          <w:t>https://aristeguinoticias.com/2706/mexico/joven-de-15-anos-mato-a-su-violador-en-defensa-propia-y-la-pgj-la-investigo-por-homicidio/</w:t>
        </w:r>
      </w:hyperlink>
      <w:r w:rsidRPr="00951543">
        <w:rPr>
          <w:sz w:val="16"/>
          <w:szCs w:val="16"/>
        </w:rPr>
        <w:t xml:space="preserve"> </w:t>
      </w:r>
    </w:p>
  </w:footnote>
  <w:footnote w:id="3">
    <w:p w14:paraId="13E19198" w14:textId="517D79F3" w:rsidR="0042319A" w:rsidRPr="007C718C" w:rsidRDefault="0042319A">
      <w:pPr>
        <w:pStyle w:val="Textonotapie"/>
        <w:rPr>
          <w:sz w:val="16"/>
          <w:szCs w:val="16"/>
        </w:rPr>
      </w:pPr>
      <w:r w:rsidRPr="007C718C">
        <w:rPr>
          <w:rStyle w:val="Refdenotaalpie"/>
          <w:sz w:val="16"/>
          <w:szCs w:val="16"/>
        </w:rPr>
        <w:footnoteRef/>
      </w:r>
      <w:r w:rsidRPr="007C718C">
        <w:rPr>
          <w:sz w:val="16"/>
          <w:szCs w:val="16"/>
        </w:rPr>
        <w:t xml:space="preserve"> </w:t>
      </w:r>
      <w:r w:rsidR="007C718C" w:rsidRPr="007C718C">
        <w:rPr>
          <w:sz w:val="16"/>
          <w:szCs w:val="16"/>
        </w:rPr>
        <w:t xml:space="preserve">Convención Interamericana para Prevenir, Sancionar y Erradicar la Violencia contra la Mujer. Disponible en: </w:t>
      </w:r>
      <w:hyperlink r:id="rId3" w:history="1">
        <w:r w:rsidR="007C718C" w:rsidRPr="007C718C">
          <w:rPr>
            <w:rStyle w:val="Hipervnculo"/>
            <w:sz w:val="16"/>
            <w:szCs w:val="16"/>
          </w:rPr>
          <w:t>https://www.oas.org/juridico/spanish/tratados/a-61.html</w:t>
        </w:r>
      </w:hyperlink>
      <w:r w:rsidRPr="007C718C">
        <w:rPr>
          <w:sz w:val="16"/>
          <w:szCs w:val="16"/>
        </w:rPr>
        <w:t xml:space="preserve"> </w:t>
      </w:r>
    </w:p>
  </w:footnote>
  <w:footnote w:id="4">
    <w:p w14:paraId="777BA390" w14:textId="46FF416F" w:rsidR="00BE491F" w:rsidRPr="00BE491F" w:rsidRDefault="00BE491F" w:rsidP="00BE491F">
      <w:pPr>
        <w:pStyle w:val="Textonotapie"/>
        <w:rPr>
          <w:sz w:val="16"/>
          <w:szCs w:val="16"/>
        </w:rPr>
      </w:pPr>
      <w:r w:rsidRPr="00BE491F">
        <w:rPr>
          <w:rStyle w:val="Refdenotaalpie"/>
          <w:sz w:val="16"/>
          <w:szCs w:val="16"/>
        </w:rPr>
        <w:footnoteRef/>
      </w:r>
      <w:r w:rsidRPr="00BE491F">
        <w:rPr>
          <w:sz w:val="16"/>
          <w:szCs w:val="16"/>
        </w:rPr>
        <w:t xml:space="preserve"> Recomendación General del Comité de Expertas del MESECVI (No. 1) LEGÍTIMA DEFENSA Y</w:t>
      </w:r>
      <w:r>
        <w:rPr>
          <w:sz w:val="16"/>
          <w:szCs w:val="16"/>
        </w:rPr>
        <w:t xml:space="preserve"> </w:t>
      </w:r>
      <w:r w:rsidRPr="00BE491F">
        <w:rPr>
          <w:sz w:val="16"/>
          <w:szCs w:val="16"/>
        </w:rPr>
        <w:t xml:space="preserve">VIOLENCIA CONTRA LAS MUJERES. Disponible en: </w:t>
      </w:r>
      <w:hyperlink r:id="rId4" w:history="1">
        <w:r w:rsidRPr="00BE491F">
          <w:rPr>
            <w:rStyle w:val="Hipervnculo"/>
            <w:sz w:val="16"/>
            <w:szCs w:val="16"/>
          </w:rPr>
          <w:t>https://www.oas.org/es/mesecvi/docs/RecomendacionLegitimaDefensa-ES.pdf</w:t>
        </w:r>
      </w:hyperlink>
      <w:r>
        <w:t xml:space="preserve"> </w:t>
      </w:r>
    </w:p>
  </w:footnote>
  <w:footnote w:id="5">
    <w:p w14:paraId="45EF71F1" w14:textId="1BD5DB1D" w:rsidR="00BE491F" w:rsidRPr="004005F5" w:rsidRDefault="00BE491F" w:rsidP="007A392B">
      <w:pPr>
        <w:pStyle w:val="Textonotapie"/>
        <w:rPr>
          <w:sz w:val="16"/>
          <w:szCs w:val="16"/>
        </w:rPr>
      </w:pPr>
      <w:r w:rsidRPr="004005F5">
        <w:rPr>
          <w:rStyle w:val="Refdenotaalpie"/>
          <w:sz w:val="16"/>
          <w:szCs w:val="16"/>
        </w:rPr>
        <w:footnoteRef/>
      </w:r>
      <w:r w:rsidRPr="004005F5">
        <w:rPr>
          <w:sz w:val="16"/>
          <w:szCs w:val="16"/>
        </w:rPr>
        <w:t xml:space="preserve"> </w:t>
      </w:r>
      <w:r w:rsidR="007A392B" w:rsidRPr="004005F5">
        <w:rPr>
          <w:sz w:val="16"/>
          <w:szCs w:val="16"/>
        </w:rPr>
        <w:t>Suprema Corte de Justicia de la Nación. Mujeres que sufren violencia doméstica y enfrentan por haber</w:t>
      </w:r>
      <w:r w:rsidR="004005F5">
        <w:rPr>
          <w:sz w:val="16"/>
          <w:szCs w:val="16"/>
        </w:rPr>
        <w:t xml:space="preserve"> </w:t>
      </w:r>
      <w:r w:rsidR="007A392B" w:rsidRPr="004005F5">
        <w:rPr>
          <w:sz w:val="16"/>
          <w:szCs w:val="16"/>
        </w:rPr>
        <w:t>agredido a sus victimarios deben ser juzgadas con perspectiva de género: Primera Sala. 7 de marzo de</w:t>
      </w:r>
      <w:r w:rsidR="004005F5">
        <w:rPr>
          <w:sz w:val="16"/>
          <w:szCs w:val="16"/>
        </w:rPr>
        <w:t xml:space="preserve"> </w:t>
      </w:r>
      <w:r w:rsidR="007A392B" w:rsidRPr="004005F5">
        <w:rPr>
          <w:sz w:val="16"/>
          <w:szCs w:val="16"/>
        </w:rPr>
        <w:t xml:space="preserve">2018. Disponible en: </w:t>
      </w:r>
      <w:hyperlink r:id="rId5" w:history="1">
        <w:r w:rsidR="007A392B" w:rsidRPr="004005F5">
          <w:rPr>
            <w:rStyle w:val="Hipervnculo"/>
            <w:sz w:val="16"/>
            <w:szCs w:val="16"/>
          </w:rPr>
          <w:t>https://www.internet2.scjn.gob.mx/red2/comunicados/noticia.asp?id=4687</w:t>
        </w:r>
      </w:hyperlink>
      <w:r w:rsidR="007A392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6FA229AB" w:rsidR="007F665E" w:rsidRDefault="007F665E">
    <w:pPr>
      <w:pStyle w:val="Encabezado"/>
    </w:pPr>
    <w:r>
      <w:rPr>
        <w:noProof/>
        <w:lang w:val="es-ES" w:eastAsia="es-ES"/>
      </w:rPr>
      <w:drawing>
        <wp:anchor distT="0" distB="0" distL="114300" distR="114300" simplePos="0" relativeHeight="251658240" behindDoc="1" locked="0" layoutInCell="1" allowOverlap="1" wp14:anchorId="046EAEB8" wp14:editId="218F6BCF">
          <wp:simplePos x="0" y="0"/>
          <wp:positionH relativeFrom="column">
            <wp:posOffset>-1080135</wp:posOffset>
          </wp:positionH>
          <wp:positionV relativeFrom="paragraph">
            <wp:posOffset>-449580</wp:posOffset>
          </wp:positionV>
          <wp:extent cx="7772400" cy="100584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A1129"/>
    <w:multiLevelType w:val="hybridMultilevel"/>
    <w:tmpl w:val="1612F536"/>
    <w:lvl w:ilvl="0" w:tplc="2A62422A">
      <w:start w:val="1"/>
      <w:numFmt w:val="bullet"/>
      <w:lvlText w:val=""/>
      <w:lvlJc w:val="left"/>
      <w:pPr>
        <w:ind w:left="1428" w:hanging="360"/>
      </w:pPr>
      <w:rPr>
        <w:rFonts w:ascii="Wingdings 3" w:hAnsi="Wingdings 3"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69511DC5"/>
    <w:multiLevelType w:val="hybridMultilevel"/>
    <w:tmpl w:val="8E643238"/>
    <w:lvl w:ilvl="0" w:tplc="E5743EA0">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D8550B7"/>
    <w:multiLevelType w:val="hybridMultilevel"/>
    <w:tmpl w:val="BD503D00"/>
    <w:lvl w:ilvl="0" w:tplc="ED0228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8257145">
    <w:abstractNumId w:val="0"/>
  </w:num>
  <w:num w:numId="2" w16cid:durableId="1510560358">
    <w:abstractNumId w:val="2"/>
  </w:num>
  <w:num w:numId="3" w16cid:durableId="87604463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4896"/>
    <w:rsid w:val="000061D2"/>
    <w:rsid w:val="0001274E"/>
    <w:rsid w:val="00034AF4"/>
    <w:rsid w:val="00057E64"/>
    <w:rsid w:val="000C1342"/>
    <w:rsid w:val="000C4FDB"/>
    <w:rsid w:val="000F67C8"/>
    <w:rsid w:val="0011052F"/>
    <w:rsid w:val="00113A48"/>
    <w:rsid w:val="00176D8F"/>
    <w:rsid w:val="00187A49"/>
    <w:rsid w:val="001911AA"/>
    <w:rsid w:val="001F6145"/>
    <w:rsid w:val="00210665"/>
    <w:rsid w:val="0022538C"/>
    <w:rsid w:val="0026299C"/>
    <w:rsid w:val="00291896"/>
    <w:rsid w:val="002A06A8"/>
    <w:rsid w:val="002C06B1"/>
    <w:rsid w:val="002D42B5"/>
    <w:rsid w:val="002E3F89"/>
    <w:rsid w:val="002E771A"/>
    <w:rsid w:val="00313EC5"/>
    <w:rsid w:val="003148B1"/>
    <w:rsid w:val="00324935"/>
    <w:rsid w:val="00326670"/>
    <w:rsid w:val="00374702"/>
    <w:rsid w:val="003C63E9"/>
    <w:rsid w:val="003D3DCB"/>
    <w:rsid w:val="004005F5"/>
    <w:rsid w:val="0042319A"/>
    <w:rsid w:val="004243D8"/>
    <w:rsid w:val="00444C92"/>
    <w:rsid w:val="004635CD"/>
    <w:rsid w:val="00480B2B"/>
    <w:rsid w:val="004C1D83"/>
    <w:rsid w:val="004C1FCF"/>
    <w:rsid w:val="004C60C5"/>
    <w:rsid w:val="004D5B3F"/>
    <w:rsid w:val="004E363F"/>
    <w:rsid w:val="005204B7"/>
    <w:rsid w:val="00561A86"/>
    <w:rsid w:val="0059206D"/>
    <w:rsid w:val="005A7EDC"/>
    <w:rsid w:val="005D3B18"/>
    <w:rsid w:val="005F0F9B"/>
    <w:rsid w:val="005F7DB5"/>
    <w:rsid w:val="00620163"/>
    <w:rsid w:val="00652673"/>
    <w:rsid w:val="00692A26"/>
    <w:rsid w:val="006A339C"/>
    <w:rsid w:val="006C28F7"/>
    <w:rsid w:val="006E6B75"/>
    <w:rsid w:val="006F58FC"/>
    <w:rsid w:val="0070484A"/>
    <w:rsid w:val="00740750"/>
    <w:rsid w:val="007659A7"/>
    <w:rsid w:val="007926CD"/>
    <w:rsid w:val="007A392B"/>
    <w:rsid w:val="007C718C"/>
    <w:rsid w:val="007D3DA2"/>
    <w:rsid w:val="007F3B26"/>
    <w:rsid w:val="007F665E"/>
    <w:rsid w:val="00833417"/>
    <w:rsid w:val="008357D3"/>
    <w:rsid w:val="008818DB"/>
    <w:rsid w:val="008D33AF"/>
    <w:rsid w:val="008D43A5"/>
    <w:rsid w:val="008E04C8"/>
    <w:rsid w:val="008F5B89"/>
    <w:rsid w:val="008F651D"/>
    <w:rsid w:val="008F6A06"/>
    <w:rsid w:val="00921A7D"/>
    <w:rsid w:val="009267FE"/>
    <w:rsid w:val="009311AE"/>
    <w:rsid w:val="00951543"/>
    <w:rsid w:val="009715A5"/>
    <w:rsid w:val="009C1838"/>
    <w:rsid w:val="009D251A"/>
    <w:rsid w:val="00A05E3F"/>
    <w:rsid w:val="00A07CF5"/>
    <w:rsid w:val="00A4474A"/>
    <w:rsid w:val="00A44C1B"/>
    <w:rsid w:val="00A5363A"/>
    <w:rsid w:val="00A7621F"/>
    <w:rsid w:val="00AD7BD3"/>
    <w:rsid w:val="00AF3AF7"/>
    <w:rsid w:val="00B04B6E"/>
    <w:rsid w:val="00B1062C"/>
    <w:rsid w:val="00B1476C"/>
    <w:rsid w:val="00B32079"/>
    <w:rsid w:val="00B36A25"/>
    <w:rsid w:val="00B56921"/>
    <w:rsid w:val="00B95A72"/>
    <w:rsid w:val="00BA1413"/>
    <w:rsid w:val="00BA6F58"/>
    <w:rsid w:val="00BC1FED"/>
    <w:rsid w:val="00BE491F"/>
    <w:rsid w:val="00C17A1B"/>
    <w:rsid w:val="00C25325"/>
    <w:rsid w:val="00C54790"/>
    <w:rsid w:val="00C5799D"/>
    <w:rsid w:val="00CB33BA"/>
    <w:rsid w:val="00CC09FB"/>
    <w:rsid w:val="00CE5C19"/>
    <w:rsid w:val="00CF7BB4"/>
    <w:rsid w:val="00D03976"/>
    <w:rsid w:val="00D33486"/>
    <w:rsid w:val="00D65DAA"/>
    <w:rsid w:val="00DA79D2"/>
    <w:rsid w:val="00DB3F45"/>
    <w:rsid w:val="00DC3237"/>
    <w:rsid w:val="00DE0A48"/>
    <w:rsid w:val="00E30938"/>
    <w:rsid w:val="00E45A92"/>
    <w:rsid w:val="00E45D64"/>
    <w:rsid w:val="00E91DD8"/>
    <w:rsid w:val="00EA1435"/>
    <w:rsid w:val="00EB012D"/>
    <w:rsid w:val="00EC19A5"/>
    <w:rsid w:val="00EC231A"/>
    <w:rsid w:val="00EF31AD"/>
    <w:rsid w:val="00F55F5F"/>
    <w:rsid w:val="00F66EE8"/>
    <w:rsid w:val="00F85652"/>
    <w:rsid w:val="00FE7EFE"/>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table" w:styleId="Tablaconcuadrcula">
    <w:name w:val="Table Grid"/>
    <w:basedOn w:val="Tablanormal"/>
    <w:uiPriority w:val="39"/>
    <w:rsid w:val="002D4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36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B32079"/>
    <w:pPr>
      <w:spacing w:after="0" w:line="240" w:lineRule="auto"/>
      <w:ind w:left="720"/>
      <w:contextualSpacing/>
    </w:pPr>
    <w:rPr>
      <w:rFonts w:eastAsiaTheme="minorEastAsia"/>
      <w:sz w:val="24"/>
      <w:szCs w:val="24"/>
      <w:lang w:val="en-US" w:eastAsia="zh-CN"/>
    </w:rPr>
  </w:style>
  <w:style w:type="character" w:customStyle="1" w:styleId="Ninguno">
    <w:name w:val="Ninguno"/>
    <w:rsid w:val="000C1342"/>
  </w:style>
  <w:style w:type="paragraph" w:styleId="Textonotapie">
    <w:name w:val="footnote text"/>
    <w:basedOn w:val="Normal"/>
    <w:link w:val="TextonotapieCar"/>
    <w:uiPriority w:val="99"/>
    <w:semiHidden/>
    <w:unhideWhenUsed/>
    <w:rsid w:val="00313E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3EC5"/>
    <w:rPr>
      <w:sz w:val="20"/>
      <w:szCs w:val="20"/>
    </w:rPr>
  </w:style>
  <w:style w:type="character" w:styleId="Refdenotaalpie">
    <w:name w:val="footnote reference"/>
    <w:basedOn w:val="Fuentedeprrafopredeter"/>
    <w:uiPriority w:val="99"/>
    <w:semiHidden/>
    <w:unhideWhenUsed/>
    <w:rsid w:val="00313EC5"/>
    <w:rPr>
      <w:vertAlign w:val="superscript"/>
    </w:rPr>
  </w:style>
  <w:style w:type="character" w:styleId="Hipervnculo">
    <w:name w:val="Hyperlink"/>
    <w:basedOn w:val="Fuentedeprrafopredeter"/>
    <w:uiPriority w:val="99"/>
    <w:unhideWhenUsed/>
    <w:rsid w:val="00313EC5"/>
    <w:rPr>
      <w:color w:val="0563C1" w:themeColor="hyperlink"/>
      <w:u w:val="single"/>
    </w:rPr>
  </w:style>
  <w:style w:type="character" w:styleId="Mencinsinresolver">
    <w:name w:val="Unresolved Mention"/>
    <w:basedOn w:val="Fuentedeprrafopredeter"/>
    <w:uiPriority w:val="99"/>
    <w:semiHidden/>
    <w:unhideWhenUsed/>
    <w:rsid w:val="00313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as.org/juridico/spanish/tratados/a-61.html" TargetMode="External"/><Relationship Id="rId2" Type="http://schemas.openxmlformats.org/officeDocument/2006/relationships/hyperlink" Target="https://aristeguinoticias.com/2706/mexico/joven-de-15-anos-mato-a-su-violador-en-defensa-propia-y-la-pgj-la-investigo-por-homicidio/" TargetMode="External"/><Relationship Id="rId1" Type="http://schemas.openxmlformats.org/officeDocument/2006/relationships/hyperlink" Target="https://lasillarota.com/metropoli/2018/7/9/mary-un-caso-de-legitima-defensa-que-llego-la-onu-163481.html" TargetMode="External"/><Relationship Id="rId5" Type="http://schemas.openxmlformats.org/officeDocument/2006/relationships/hyperlink" Target="https://www.internet2.scjn.gob.mx/red2/comunicados/noticia.asp?id=4687" TargetMode="External"/><Relationship Id="rId4" Type="http://schemas.openxmlformats.org/officeDocument/2006/relationships/hyperlink" Target="https://www.oas.org/es/mesecvi/docs/RecomendacionLegitimaDefensa-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8C65B-07B0-4743-AACF-F4A9C6292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1639</Words>
  <Characters>9016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cp:lastPrinted>2024-08-08T20:08:00Z</cp:lastPrinted>
  <dcterms:created xsi:type="dcterms:W3CDTF">2024-11-11T17:58:00Z</dcterms:created>
  <dcterms:modified xsi:type="dcterms:W3CDTF">2024-11-11T17:58:00Z</dcterms:modified>
</cp:coreProperties>
</file>