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11272" w14:textId="77777777" w:rsidR="009B1C08" w:rsidRPr="00BB1CC7" w:rsidRDefault="009B1C08" w:rsidP="00BB1CC7">
      <w:pPr>
        <w:spacing w:line="360" w:lineRule="auto"/>
        <w:jc w:val="both"/>
        <w:rPr>
          <w:rFonts w:ascii="Century Gothic" w:hAnsi="Century Gothic"/>
          <w:b/>
          <w:bCs/>
          <w:sz w:val="24"/>
          <w:szCs w:val="24"/>
        </w:rPr>
      </w:pPr>
    </w:p>
    <w:p w14:paraId="67040E45" w14:textId="386043AD" w:rsidR="002A32CE" w:rsidRPr="00BB1CC7" w:rsidRDefault="002A32CE" w:rsidP="00BB1CC7">
      <w:pPr>
        <w:spacing w:line="360" w:lineRule="auto"/>
        <w:jc w:val="both"/>
        <w:rPr>
          <w:rFonts w:ascii="Century Gothic" w:hAnsi="Century Gothic"/>
          <w:b/>
          <w:bCs/>
          <w:sz w:val="24"/>
          <w:szCs w:val="24"/>
        </w:rPr>
      </w:pPr>
      <w:r w:rsidRPr="00BB1CC7">
        <w:rPr>
          <w:rFonts w:ascii="Century Gothic" w:hAnsi="Century Gothic"/>
          <w:b/>
          <w:bCs/>
          <w:sz w:val="24"/>
          <w:szCs w:val="24"/>
        </w:rPr>
        <w:t>H. CONGRESO DEL ESTADO DE CHIHUAHUA</w:t>
      </w:r>
    </w:p>
    <w:p w14:paraId="21A45B23" w14:textId="77777777" w:rsidR="002A32CE" w:rsidRPr="00BB1CC7" w:rsidRDefault="002A32CE" w:rsidP="00BB1CC7">
      <w:pPr>
        <w:spacing w:line="360" w:lineRule="auto"/>
        <w:jc w:val="both"/>
        <w:rPr>
          <w:rFonts w:ascii="Century Gothic" w:hAnsi="Century Gothic"/>
          <w:b/>
          <w:bCs/>
          <w:sz w:val="24"/>
          <w:szCs w:val="24"/>
        </w:rPr>
      </w:pPr>
      <w:r w:rsidRPr="00BB1CC7">
        <w:rPr>
          <w:rFonts w:ascii="Century Gothic" w:hAnsi="Century Gothic"/>
          <w:b/>
          <w:bCs/>
          <w:sz w:val="24"/>
          <w:szCs w:val="24"/>
        </w:rPr>
        <w:t xml:space="preserve">P R E S E N T E. </w:t>
      </w:r>
    </w:p>
    <w:p w14:paraId="0010F570" w14:textId="30ABD2DB" w:rsidR="007A3C78" w:rsidRPr="00BB1CC7" w:rsidRDefault="002A32CE" w:rsidP="00BB1CC7">
      <w:pPr>
        <w:spacing w:line="360" w:lineRule="auto"/>
        <w:jc w:val="both"/>
        <w:rPr>
          <w:rFonts w:ascii="Century Gothic" w:hAnsi="Century Gothic"/>
          <w:sz w:val="24"/>
          <w:szCs w:val="24"/>
        </w:rPr>
      </w:pPr>
      <w:r w:rsidRPr="00BB1CC7">
        <w:rPr>
          <w:rFonts w:ascii="Century Gothic" w:hAnsi="Century Gothic"/>
          <w:sz w:val="24"/>
          <w:szCs w:val="24"/>
        </w:rPr>
        <w:t>Quienes suscribimos,</w:t>
      </w:r>
      <w:r w:rsidRPr="00BB1CC7">
        <w:rPr>
          <w:rFonts w:ascii="Century Gothic" w:hAnsi="Century Gothic"/>
          <w:b/>
          <w:bCs/>
          <w:sz w:val="24"/>
          <w:szCs w:val="24"/>
        </w:rPr>
        <w:t xml:space="preserve"> Leticia Ortega Máynez, Edin Cuauhtémoc Estrada Sotelo, Magdalena Rentería Pérez, Jael Argüelles Díaz, Brenda Francisca Ríos Prieto, Elizabeth Guzmán Argueta, Edith Palma Ontiveros, Herminia Gómez Carrasco, Oscar Daniel Avitia Arellanes , María Antonieta Pérez Reyes, Pedro Torres Estrada y Rosana Díaz Reyes, </w:t>
      </w:r>
      <w:r w:rsidRPr="00BB1CC7">
        <w:rPr>
          <w:rFonts w:ascii="Century Gothic" w:hAnsi="Century Gothic"/>
          <w:sz w:val="24"/>
          <w:szCs w:val="24"/>
        </w:rPr>
        <w:t xml:space="preserve">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DECRETO, </w:t>
      </w:r>
      <w:r w:rsidR="00901583" w:rsidRPr="00BB1CC7">
        <w:rPr>
          <w:rFonts w:ascii="Century Gothic" w:hAnsi="Century Gothic"/>
          <w:sz w:val="24"/>
          <w:szCs w:val="24"/>
        </w:rPr>
        <w:t xml:space="preserve">con el fin de </w:t>
      </w:r>
      <w:r w:rsidR="00BB1CC7" w:rsidRPr="00BB1CC7">
        <w:rPr>
          <w:rFonts w:ascii="Century Gothic" w:eastAsia="Century Gothic" w:hAnsi="Century Gothic" w:cs="Century Gothic"/>
          <w:b/>
          <w:bCs/>
          <w:sz w:val="24"/>
          <w:szCs w:val="24"/>
        </w:rPr>
        <w:t xml:space="preserve">adicionar el artículo 36 Bis </w:t>
      </w:r>
      <w:r w:rsidR="006D5208">
        <w:rPr>
          <w:rFonts w:ascii="Century Gothic" w:eastAsia="Century Gothic" w:hAnsi="Century Gothic" w:cs="Century Gothic"/>
          <w:b/>
          <w:bCs/>
          <w:sz w:val="24"/>
          <w:szCs w:val="24"/>
        </w:rPr>
        <w:t>a</w:t>
      </w:r>
      <w:r w:rsidR="00522099">
        <w:rPr>
          <w:rFonts w:ascii="Century Gothic" w:eastAsia="Century Gothic" w:hAnsi="Century Gothic" w:cs="Century Gothic"/>
          <w:b/>
          <w:bCs/>
          <w:sz w:val="24"/>
          <w:szCs w:val="24"/>
        </w:rPr>
        <w:t xml:space="preserve"> </w:t>
      </w:r>
      <w:r w:rsidR="00BB1CC7" w:rsidRPr="00BB1CC7">
        <w:rPr>
          <w:rFonts w:ascii="Century Gothic" w:eastAsia="Century Gothic" w:hAnsi="Century Gothic" w:cs="Century Gothic"/>
          <w:b/>
          <w:bCs/>
          <w:sz w:val="24"/>
          <w:szCs w:val="24"/>
        </w:rPr>
        <w:t xml:space="preserve">la </w:t>
      </w:r>
      <w:r w:rsidR="00BB1CC7" w:rsidRPr="00BB1CC7">
        <w:rPr>
          <w:rFonts w:ascii="Century Gothic" w:hAnsi="Century Gothic"/>
          <w:b/>
          <w:bCs/>
          <w:sz w:val="24"/>
          <w:szCs w:val="24"/>
        </w:rPr>
        <w:t>Ley de Presupuesto de Egresos, Contabilidad Gubernamental y Gasto Público</w:t>
      </w:r>
      <w:r w:rsidRPr="00BB1CC7">
        <w:rPr>
          <w:rFonts w:ascii="Century Gothic" w:hAnsi="Century Gothic"/>
          <w:b/>
          <w:bCs/>
          <w:sz w:val="24"/>
          <w:szCs w:val="24"/>
        </w:rPr>
        <w:t xml:space="preserve"> </w:t>
      </w:r>
      <w:r w:rsidRPr="00BB1CC7">
        <w:rPr>
          <w:rFonts w:ascii="Century Gothic" w:hAnsi="Century Gothic"/>
          <w:sz w:val="24"/>
          <w:szCs w:val="24"/>
        </w:rPr>
        <w:t>lo anterior sustentado en la siguiente :</w:t>
      </w:r>
    </w:p>
    <w:p w14:paraId="7F4B2259" w14:textId="77777777" w:rsidR="00BB1CC7" w:rsidRPr="00BB1CC7" w:rsidRDefault="00BB1CC7" w:rsidP="00BB1CC7">
      <w:pPr>
        <w:spacing w:line="360" w:lineRule="auto"/>
        <w:jc w:val="both"/>
        <w:rPr>
          <w:rFonts w:ascii="Century Gothic" w:hAnsi="Century Gothic"/>
          <w:sz w:val="24"/>
          <w:szCs w:val="24"/>
        </w:rPr>
      </w:pPr>
    </w:p>
    <w:p w14:paraId="00B58B71" w14:textId="7EA5AEF2" w:rsidR="003E5286" w:rsidRPr="00BB1CC7" w:rsidRDefault="003E5286" w:rsidP="00BB1CC7">
      <w:pPr>
        <w:spacing w:line="360" w:lineRule="auto"/>
        <w:jc w:val="center"/>
        <w:rPr>
          <w:rFonts w:ascii="Century Gothic" w:hAnsi="Century Gothic"/>
          <w:b/>
          <w:bCs/>
          <w:sz w:val="24"/>
          <w:szCs w:val="24"/>
        </w:rPr>
      </w:pPr>
      <w:r w:rsidRPr="00BB1CC7">
        <w:rPr>
          <w:rFonts w:ascii="Century Gothic" w:hAnsi="Century Gothic"/>
          <w:b/>
          <w:bCs/>
          <w:sz w:val="24"/>
          <w:szCs w:val="24"/>
        </w:rPr>
        <w:t>EXPOSICIÓN DE MOTIVOS</w:t>
      </w:r>
    </w:p>
    <w:p w14:paraId="35358103" w14:textId="77777777" w:rsidR="002A32CE" w:rsidRPr="00BB1CC7" w:rsidRDefault="002A32CE" w:rsidP="00BB1CC7">
      <w:pPr>
        <w:spacing w:line="360" w:lineRule="auto"/>
        <w:jc w:val="both"/>
        <w:rPr>
          <w:rFonts w:ascii="Century Gothic" w:hAnsi="Century Gothic"/>
          <w:b/>
          <w:bCs/>
          <w:sz w:val="24"/>
          <w:szCs w:val="24"/>
        </w:rPr>
      </w:pPr>
    </w:p>
    <w:p w14:paraId="3833FE28" w14:textId="2ABEC87C" w:rsidR="003E5286" w:rsidRPr="00BB1CC7" w:rsidRDefault="003E5286" w:rsidP="00BB1CC7">
      <w:pPr>
        <w:spacing w:line="360" w:lineRule="auto"/>
        <w:jc w:val="both"/>
        <w:rPr>
          <w:rFonts w:ascii="Century Gothic" w:hAnsi="Century Gothic"/>
          <w:sz w:val="24"/>
          <w:szCs w:val="24"/>
        </w:rPr>
      </w:pPr>
      <w:r w:rsidRPr="00BB1CC7">
        <w:rPr>
          <w:rFonts w:ascii="Century Gothic" w:hAnsi="Century Gothic"/>
          <w:sz w:val="24"/>
          <w:szCs w:val="24"/>
        </w:rPr>
        <w:t>El gasto público es una de las herramientas más importantes con las que cuenta un gobierno para promover el desarrollo y el bienestar de su población.</w:t>
      </w:r>
    </w:p>
    <w:p w14:paraId="741DFF35" w14:textId="5B6CE7B9" w:rsidR="003E5286" w:rsidRPr="00BB1CC7" w:rsidRDefault="005B5735" w:rsidP="00BB1CC7">
      <w:pPr>
        <w:spacing w:line="360" w:lineRule="auto"/>
        <w:jc w:val="both"/>
        <w:rPr>
          <w:rFonts w:ascii="Century Gothic" w:hAnsi="Century Gothic"/>
          <w:sz w:val="24"/>
          <w:szCs w:val="24"/>
        </w:rPr>
      </w:pPr>
      <w:r w:rsidRPr="00BB1CC7">
        <w:rPr>
          <w:rFonts w:ascii="Century Gothic" w:hAnsi="Century Gothic"/>
          <w:sz w:val="24"/>
          <w:szCs w:val="24"/>
        </w:rPr>
        <w:lastRenderedPageBreak/>
        <w:t>P</w:t>
      </w:r>
      <w:r w:rsidR="003E5286" w:rsidRPr="00BB1CC7">
        <w:rPr>
          <w:rFonts w:ascii="Century Gothic" w:hAnsi="Century Gothic"/>
          <w:sz w:val="24"/>
          <w:szCs w:val="24"/>
        </w:rPr>
        <w:t>or ello</w:t>
      </w:r>
      <w:r w:rsidRPr="00BB1CC7">
        <w:rPr>
          <w:rFonts w:ascii="Century Gothic" w:hAnsi="Century Gothic"/>
          <w:sz w:val="24"/>
          <w:szCs w:val="24"/>
        </w:rPr>
        <w:t>, es</w:t>
      </w:r>
      <w:r w:rsidR="003E5286" w:rsidRPr="00BB1CC7">
        <w:rPr>
          <w:rFonts w:ascii="Century Gothic" w:hAnsi="Century Gothic"/>
          <w:sz w:val="24"/>
          <w:szCs w:val="24"/>
        </w:rPr>
        <w:t xml:space="preserve"> que </w:t>
      </w:r>
      <w:r w:rsidR="00EE0260" w:rsidRPr="00BB1CC7">
        <w:rPr>
          <w:rFonts w:ascii="Century Gothic" w:hAnsi="Century Gothic"/>
          <w:sz w:val="24"/>
          <w:szCs w:val="24"/>
        </w:rPr>
        <w:t>su</w:t>
      </w:r>
      <w:r w:rsidR="003E5286" w:rsidRPr="00BB1CC7">
        <w:rPr>
          <w:rFonts w:ascii="Century Gothic" w:hAnsi="Century Gothic"/>
          <w:sz w:val="24"/>
          <w:szCs w:val="24"/>
        </w:rPr>
        <w:t xml:space="preserve"> planificación debe estar mayormente focalizado a las regiones y a los grupos de población </w:t>
      </w:r>
      <w:r w:rsidR="00923766" w:rsidRPr="00BB1CC7">
        <w:rPr>
          <w:rFonts w:ascii="Century Gothic" w:hAnsi="Century Gothic"/>
          <w:sz w:val="24"/>
          <w:szCs w:val="24"/>
        </w:rPr>
        <w:t>más vulnerables o</w:t>
      </w:r>
      <w:r w:rsidR="003E5286" w:rsidRPr="00BB1CC7">
        <w:rPr>
          <w:rFonts w:ascii="Century Gothic" w:hAnsi="Century Gothic"/>
          <w:sz w:val="24"/>
          <w:szCs w:val="24"/>
        </w:rPr>
        <w:t xml:space="preserve"> rezagados. Est</w:t>
      </w:r>
      <w:r w:rsidR="00901583" w:rsidRPr="00BB1CC7">
        <w:rPr>
          <w:rFonts w:ascii="Century Gothic" w:hAnsi="Century Gothic"/>
          <w:sz w:val="24"/>
          <w:szCs w:val="24"/>
        </w:rPr>
        <w:t>o</w:t>
      </w:r>
      <w:r w:rsidR="003E5286" w:rsidRPr="00BB1CC7">
        <w:rPr>
          <w:rFonts w:ascii="Century Gothic" w:hAnsi="Century Gothic"/>
          <w:sz w:val="24"/>
          <w:szCs w:val="24"/>
        </w:rPr>
        <w:t xml:space="preserve"> permite identificar aquellos criterios que pueden ser incorporados al formular e implementar políticas públicas para promover una mayor equidad. </w:t>
      </w:r>
      <w:r w:rsidR="00901583" w:rsidRPr="00BB1CC7">
        <w:rPr>
          <w:rFonts w:ascii="Century Gothic" w:hAnsi="Century Gothic"/>
          <w:sz w:val="24"/>
          <w:szCs w:val="24"/>
        </w:rPr>
        <w:t>De igual manera,</w:t>
      </w:r>
      <w:r w:rsidR="00E21C22" w:rsidRPr="00BB1CC7">
        <w:rPr>
          <w:rFonts w:ascii="Century Gothic" w:hAnsi="Century Gothic"/>
          <w:sz w:val="24"/>
          <w:szCs w:val="24"/>
        </w:rPr>
        <w:t xml:space="preserve"> permite medir la incidencia que tiene la función distributiva del gasto en la disminución de las desigualdades y brechas del desarrollo. </w:t>
      </w:r>
    </w:p>
    <w:p w14:paraId="11DC9370" w14:textId="69C1B30E" w:rsidR="00B215A3" w:rsidRPr="00BB1CC7" w:rsidRDefault="00E21C22" w:rsidP="00BB1CC7">
      <w:pPr>
        <w:spacing w:line="360" w:lineRule="auto"/>
        <w:jc w:val="both"/>
        <w:rPr>
          <w:rFonts w:ascii="Century Gothic" w:hAnsi="Century Gothic"/>
          <w:color w:val="000000"/>
          <w:sz w:val="24"/>
          <w:szCs w:val="24"/>
          <w:shd w:val="clear" w:color="auto" w:fill="FFFFFF"/>
        </w:rPr>
      </w:pPr>
      <w:r w:rsidRPr="00BB1CC7">
        <w:rPr>
          <w:rFonts w:ascii="Century Gothic" w:hAnsi="Century Gothic"/>
          <w:sz w:val="24"/>
          <w:szCs w:val="24"/>
        </w:rPr>
        <w:t>La asignación del gasto se encuentra totalmente ligado a la promoción de los derechos humanos</w:t>
      </w:r>
      <w:r w:rsidR="005B5735" w:rsidRPr="00BB1CC7">
        <w:rPr>
          <w:rFonts w:ascii="Century Gothic" w:hAnsi="Century Gothic"/>
          <w:sz w:val="24"/>
          <w:szCs w:val="24"/>
        </w:rPr>
        <w:t xml:space="preserve">. En el libro </w:t>
      </w:r>
      <w:r w:rsidR="005B5735" w:rsidRPr="00BB1CC7">
        <w:rPr>
          <w:rFonts w:ascii="Century Gothic" w:hAnsi="Century Gothic"/>
          <w:i/>
          <w:iCs/>
          <w:sz w:val="24"/>
          <w:szCs w:val="24"/>
        </w:rPr>
        <w:t>El costo de los derechos</w:t>
      </w:r>
      <w:r w:rsidR="005B5735" w:rsidRPr="00BB1CC7">
        <w:rPr>
          <w:rFonts w:ascii="Century Gothic" w:hAnsi="Century Gothic"/>
          <w:sz w:val="24"/>
          <w:szCs w:val="24"/>
        </w:rPr>
        <w:t xml:space="preserve"> de Stephen Holmes y Cass Sunstein, se sostiene que “para determinar qué derechos garantiza una comunidad no se puede responder con mirar la constitución o las leyes de esta sino observando los presupuestos y estudiando cuántos recursos se destinan a su cumplimiento”. Es decir, sin presupuesto, los derechos humanos no se pueden proteger. Hay una correlación directa entre el gasto público y la garantía de los derechos. </w:t>
      </w:r>
    </w:p>
    <w:p w14:paraId="6C04CCA3" w14:textId="2BC29390" w:rsidR="005B4D3D" w:rsidRPr="00BB1CC7" w:rsidRDefault="00B215A3" w:rsidP="00BB1CC7">
      <w:pPr>
        <w:spacing w:line="360" w:lineRule="auto"/>
        <w:jc w:val="both"/>
        <w:rPr>
          <w:rFonts w:ascii="Century Gothic" w:hAnsi="Century Gothic"/>
          <w:sz w:val="24"/>
          <w:szCs w:val="24"/>
        </w:rPr>
      </w:pPr>
      <w:r w:rsidRPr="00BB1CC7">
        <w:rPr>
          <w:rFonts w:ascii="Century Gothic" w:hAnsi="Century Gothic"/>
          <w:color w:val="000000"/>
          <w:sz w:val="24"/>
          <w:szCs w:val="24"/>
          <w:shd w:val="clear" w:color="auto" w:fill="FFFFFF"/>
        </w:rPr>
        <w:t>Nuestra constitución federal, en su artículo primero establece l</w:t>
      </w:r>
      <w:r w:rsidRPr="00BB1CC7">
        <w:rPr>
          <w:rFonts w:ascii="Century Gothic" w:hAnsi="Century Gothic"/>
          <w:sz w:val="24"/>
          <w:szCs w:val="24"/>
        </w:rPr>
        <w:t xml:space="preserve">a obligación de todas las autoridades del Estado, en el ámbito de sus competencias, a respetar, proteger y garantizar los derechos humanos conforme a los principios de universalidad, interdependencia, indivisibilidad y progresividad. </w:t>
      </w:r>
    </w:p>
    <w:p w14:paraId="5BB6B01D" w14:textId="5E8B5489" w:rsidR="00B728FB" w:rsidRPr="00BB1CC7" w:rsidRDefault="00EE0260" w:rsidP="00BB1CC7">
      <w:pPr>
        <w:spacing w:line="360" w:lineRule="auto"/>
        <w:jc w:val="both"/>
        <w:rPr>
          <w:rFonts w:ascii="Century Gothic" w:hAnsi="Century Gothic"/>
          <w:sz w:val="24"/>
          <w:szCs w:val="24"/>
        </w:rPr>
      </w:pPr>
      <w:r w:rsidRPr="00BB1CC7">
        <w:rPr>
          <w:rFonts w:ascii="Century Gothic" w:hAnsi="Century Gothic"/>
          <w:sz w:val="24"/>
          <w:szCs w:val="24"/>
        </w:rPr>
        <w:t xml:space="preserve">El principio de progresividad de los derechos humanos se relaciona no sólo con la prohibición de regresividad del disfrute de los derechos fundamentales, sino también con la obligación positiva de promoverlos de manera progresiva y gradual. </w:t>
      </w:r>
      <w:r w:rsidR="00B728FB" w:rsidRPr="00BB1CC7">
        <w:rPr>
          <w:rFonts w:ascii="Century Gothic" w:hAnsi="Century Gothic"/>
          <w:sz w:val="24"/>
          <w:szCs w:val="24"/>
        </w:rPr>
        <w:t xml:space="preserve">Para las y los legisladores, este principio radica en la obligación de ampliar el alcance y la tutela de los </w:t>
      </w:r>
      <w:r w:rsidR="00901583" w:rsidRPr="00BB1CC7">
        <w:rPr>
          <w:rFonts w:ascii="Century Gothic" w:hAnsi="Century Gothic"/>
          <w:sz w:val="24"/>
          <w:szCs w:val="24"/>
        </w:rPr>
        <w:t xml:space="preserve">propios </w:t>
      </w:r>
      <w:r w:rsidR="00B728FB" w:rsidRPr="00BB1CC7">
        <w:rPr>
          <w:rFonts w:ascii="Century Gothic" w:hAnsi="Century Gothic"/>
          <w:sz w:val="24"/>
          <w:szCs w:val="24"/>
        </w:rPr>
        <w:t>derechos humanos.</w:t>
      </w:r>
    </w:p>
    <w:p w14:paraId="6D003067" w14:textId="5C8D9FA3" w:rsidR="009A19FB" w:rsidRPr="00BB1CC7" w:rsidRDefault="00B728FB" w:rsidP="00BB1CC7">
      <w:pPr>
        <w:spacing w:line="360" w:lineRule="auto"/>
        <w:jc w:val="both"/>
        <w:rPr>
          <w:rFonts w:ascii="Century Gothic" w:hAnsi="Century Gothic"/>
          <w:sz w:val="24"/>
          <w:szCs w:val="24"/>
        </w:rPr>
      </w:pPr>
      <w:r w:rsidRPr="00BB1CC7">
        <w:rPr>
          <w:rFonts w:ascii="Century Gothic" w:hAnsi="Century Gothic"/>
          <w:sz w:val="24"/>
          <w:szCs w:val="24"/>
        </w:rPr>
        <w:t>Ahora bien, l</w:t>
      </w:r>
      <w:r w:rsidR="009A19FB" w:rsidRPr="00BB1CC7">
        <w:rPr>
          <w:rFonts w:ascii="Century Gothic" w:hAnsi="Century Gothic"/>
          <w:sz w:val="24"/>
          <w:szCs w:val="24"/>
        </w:rPr>
        <w:t xml:space="preserve">a progresividad </w:t>
      </w:r>
      <w:r w:rsidR="00EE0260" w:rsidRPr="00BB1CC7">
        <w:rPr>
          <w:rFonts w:ascii="Century Gothic" w:hAnsi="Century Gothic"/>
          <w:sz w:val="24"/>
          <w:szCs w:val="24"/>
        </w:rPr>
        <w:t xml:space="preserve">en el presupuesto </w:t>
      </w:r>
      <w:r w:rsidR="009A19FB" w:rsidRPr="00BB1CC7">
        <w:rPr>
          <w:rFonts w:ascii="Century Gothic" w:hAnsi="Century Gothic"/>
          <w:sz w:val="24"/>
          <w:szCs w:val="24"/>
        </w:rPr>
        <w:t>consiste en la capacidad redistributiva de la acción del Estado</w:t>
      </w:r>
      <w:r w:rsidR="00A217F6" w:rsidRPr="00BB1CC7">
        <w:rPr>
          <w:rFonts w:ascii="Century Gothic" w:hAnsi="Century Gothic"/>
          <w:sz w:val="24"/>
          <w:szCs w:val="24"/>
        </w:rPr>
        <w:t>,</w:t>
      </w:r>
      <w:r w:rsidR="00EE0260" w:rsidRPr="00BB1CC7">
        <w:rPr>
          <w:rFonts w:ascii="Century Gothic" w:hAnsi="Century Gothic"/>
          <w:sz w:val="24"/>
          <w:szCs w:val="24"/>
        </w:rPr>
        <w:t xml:space="preserve"> y</w:t>
      </w:r>
      <w:r w:rsidR="009A19FB" w:rsidRPr="00BB1CC7">
        <w:rPr>
          <w:rFonts w:ascii="Century Gothic" w:hAnsi="Century Gothic"/>
          <w:sz w:val="24"/>
          <w:szCs w:val="24"/>
        </w:rPr>
        <w:t xml:space="preserve"> se mide a partir de la incidencia que las políticas y el gasto público tienen en el bienestar de la población más </w:t>
      </w:r>
      <w:r w:rsidR="009A19FB" w:rsidRPr="00BB1CC7">
        <w:rPr>
          <w:rFonts w:ascii="Century Gothic" w:hAnsi="Century Gothic"/>
          <w:sz w:val="24"/>
          <w:szCs w:val="24"/>
        </w:rPr>
        <w:lastRenderedPageBreak/>
        <w:t xml:space="preserve">vulnerable. </w:t>
      </w:r>
      <w:r w:rsidR="000F0B6B" w:rsidRPr="00BB1CC7">
        <w:rPr>
          <w:rFonts w:ascii="Century Gothic" w:hAnsi="Century Gothic"/>
          <w:sz w:val="24"/>
          <w:szCs w:val="24"/>
        </w:rPr>
        <w:t>Es una herramienta para</w:t>
      </w:r>
      <w:r w:rsidR="009A19FB" w:rsidRPr="00BB1CC7">
        <w:rPr>
          <w:rFonts w:ascii="Century Gothic" w:hAnsi="Century Gothic"/>
          <w:sz w:val="24"/>
          <w:szCs w:val="24"/>
        </w:rPr>
        <w:t xml:space="preserve"> disminuir la desigualdad y promover el acceso igualitario a las libertades y al desarrollo humano. </w:t>
      </w:r>
    </w:p>
    <w:p w14:paraId="08E6CBDB" w14:textId="23C64761" w:rsidR="00A65889" w:rsidRPr="00BB1CC7" w:rsidRDefault="00B215A3" w:rsidP="00BB1CC7">
      <w:pPr>
        <w:spacing w:line="360" w:lineRule="auto"/>
        <w:jc w:val="both"/>
        <w:rPr>
          <w:rFonts w:ascii="Century Gothic" w:hAnsi="Century Gothic"/>
          <w:sz w:val="24"/>
          <w:szCs w:val="24"/>
        </w:rPr>
      </w:pPr>
      <w:r w:rsidRPr="00BB1CC7">
        <w:rPr>
          <w:rFonts w:ascii="Century Gothic" w:hAnsi="Century Gothic"/>
          <w:sz w:val="24"/>
          <w:szCs w:val="24"/>
        </w:rPr>
        <w:t>En este sentido, el resultado generado por la política social, en términos del logro de una distribución más equitativa de los recursos para atender las necesidades de la población</w:t>
      </w:r>
      <w:r w:rsidR="00A217F6" w:rsidRPr="00BB1CC7">
        <w:rPr>
          <w:rFonts w:ascii="Century Gothic" w:hAnsi="Century Gothic"/>
          <w:sz w:val="24"/>
          <w:szCs w:val="24"/>
        </w:rPr>
        <w:t xml:space="preserve">, </w:t>
      </w:r>
      <w:r w:rsidR="00A65889" w:rsidRPr="00BB1CC7">
        <w:rPr>
          <w:rFonts w:ascii="Century Gothic" w:hAnsi="Century Gothic"/>
          <w:sz w:val="24"/>
          <w:szCs w:val="24"/>
        </w:rPr>
        <w:t xml:space="preserve">permitirá un mayor alcance de los derechos humanos. </w:t>
      </w:r>
    </w:p>
    <w:p w14:paraId="359D5F24" w14:textId="428F2F88" w:rsidR="000F0B6B" w:rsidRPr="00BB1CC7" w:rsidRDefault="009B1C08" w:rsidP="00BB1CC7">
      <w:pPr>
        <w:spacing w:before="120" w:after="120" w:line="360" w:lineRule="auto"/>
        <w:jc w:val="both"/>
        <w:rPr>
          <w:rFonts w:ascii="Century Gothic" w:hAnsi="Century Gothic"/>
          <w:sz w:val="24"/>
          <w:szCs w:val="24"/>
        </w:rPr>
      </w:pPr>
      <w:r w:rsidRPr="00BB1CC7">
        <w:rPr>
          <w:rFonts w:ascii="Century Gothic" w:hAnsi="Century Gothic"/>
          <w:sz w:val="24"/>
          <w:szCs w:val="24"/>
        </w:rPr>
        <w:t xml:space="preserve">El artículo 8 de la Ley de Desarrollo Social y Humano para el Estado de Chihuahua establece que “Las personas o grupos sociales en situación de pobreza, desigualdad, marginación, vulnerabilidad, discriminación o exclusión tienen acceso preferencial a los programas y proyectos tendentes a elevar la calidad de vida”. Es por esto que sus recursos deben estar enfocados en avanzar y no en retroceder. </w:t>
      </w:r>
    </w:p>
    <w:p w14:paraId="4AFC776E" w14:textId="6641DBDF" w:rsidR="00926872" w:rsidRPr="00BB1CC7" w:rsidRDefault="009B1C08" w:rsidP="00BB1CC7">
      <w:pPr>
        <w:spacing w:before="120" w:after="120" w:line="360" w:lineRule="auto"/>
        <w:jc w:val="both"/>
        <w:rPr>
          <w:rFonts w:ascii="Century Gothic" w:hAnsi="Century Gothic"/>
          <w:sz w:val="24"/>
          <w:szCs w:val="24"/>
        </w:rPr>
      </w:pPr>
      <w:r w:rsidRPr="00BB1CC7">
        <w:rPr>
          <w:rFonts w:ascii="Century Gothic" w:hAnsi="Century Gothic"/>
          <w:sz w:val="24"/>
          <w:szCs w:val="24"/>
        </w:rPr>
        <w:t>L</w:t>
      </w:r>
      <w:r w:rsidR="000F0B6B" w:rsidRPr="00BB1CC7">
        <w:rPr>
          <w:rFonts w:ascii="Century Gothic" w:hAnsi="Century Gothic"/>
          <w:sz w:val="24"/>
          <w:szCs w:val="24"/>
        </w:rPr>
        <w:t xml:space="preserve">os grupos en situación de vulnerabilidad son aquellos que, debido a alguna condición específica, </w:t>
      </w:r>
      <w:r w:rsidRPr="00BB1CC7">
        <w:rPr>
          <w:rFonts w:ascii="Century Gothic" w:hAnsi="Century Gothic"/>
          <w:sz w:val="24"/>
          <w:szCs w:val="24"/>
        </w:rPr>
        <w:t>han sido</w:t>
      </w:r>
      <w:r w:rsidR="000F0B6B" w:rsidRPr="00BB1CC7">
        <w:rPr>
          <w:rFonts w:ascii="Century Gothic" w:hAnsi="Century Gothic"/>
          <w:sz w:val="24"/>
          <w:szCs w:val="24"/>
        </w:rPr>
        <w:t xml:space="preserve"> sujetos</w:t>
      </w:r>
      <w:r w:rsidR="000F0B6B" w:rsidRPr="00BB1CC7">
        <w:rPr>
          <w:rFonts w:ascii="Century Gothic" w:hAnsi="Century Gothic"/>
          <w:color w:val="00B050"/>
          <w:sz w:val="24"/>
          <w:szCs w:val="24"/>
        </w:rPr>
        <w:t xml:space="preserve"> </w:t>
      </w:r>
      <w:r w:rsidR="000F0B6B" w:rsidRPr="00BB1CC7">
        <w:rPr>
          <w:rFonts w:ascii="Century Gothic" w:hAnsi="Century Gothic"/>
          <w:sz w:val="24"/>
          <w:szCs w:val="24"/>
        </w:rPr>
        <w:t>a un prejuicio social y a una situación histórica de opresión e injusticia, siendo afectados sistemáticamente en el disfrute y ejercicio de sus derechos fundamentales.</w:t>
      </w:r>
    </w:p>
    <w:p w14:paraId="639606F2" w14:textId="61FDFD72" w:rsidR="00E9493F" w:rsidRPr="00BB1CC7" w:rsidRDefault="00E9493F" w:rsidP="00BB1CC7">
      <w:pPr>
        <w:spacing w:line="360" w:lineRule="auto"/>
        <w:jc w:val="both"/>
        <w:rPr>
          <w:rFonts w:ascii="Century Gothic" w:hAnsi="Century Gothic"/>
          <w:sz w:val="24"/>
          <w:szCs w:val="24"/>
        </w:rPr>
      </w:pPr>
      <w:r w:rsidRPr="00BB1CC7">
        <w:rPr>
          <w:rFonts w:ascii="Century Gothic" w:hAnsi="Century Gothic"/>
          <w:sz w:val="24"/>
          <w:szCs w:val="24"/>
        </w:rPr>
        <w:t>El Estado mexicano</w:t>
      </w:r>
      <w:r w:rsidR="009B1C08" w:rsidRPr="00BB1CC7">
        <w:rPr>
          <w:rFonts w:ascii="Century Gothic" w:hAnsi="Century Gothic"/>
          <w:sz w:val="24"/>
          <w:szCs w:val="24"/>
        </w:rPr>
        <w:t xml:space="preserve"> a partir del año 2011,</w:t>
      </w:r>
      <w:r w:rsidRPr="00BB1CC7">
        <w:rPr>
          <w:rFonts w:ascii="Century Gothic" w:hAnsi="Century Gothic"/>
          <w:sz w:val="24"/>
          <w:szCs w:val="24"/>
        </w:rPr>
        <w:t xml:space="preserve"> tiene el mandato constitucional de realizar todos los cambios y transformaciones necesarias en la estructura económica, social, política y cultural del país, </w:t>
      </w:r>
      <w:r w:rsidR="009B1C08" w:rsidRPr="00BB1CC7">
        <w:rPr>
          <w:rFonts w:ascii="Century Gothic" w:hAnsi="Century Gothic"/>
          <w:sz w:val="24"/>
          <w:szCs w:val="24"/>
        </w:rPr>
        <w:t>para</w:t>
      </w:r>
      <w:r w:rsidRPr="00BB1CC7">
        <w:rPr>
          <w:rFonts w:ascii="Century Gothic" w:hAnsi="Century Gothic"/>
          <w:sz w:val="24"/>
          <w:szCs w:val="24"/>
        </w:rPr>
        <w:t xml:space="preserve"> garanti</w:t>
      </w:r>
      <w:r w:rsidR="009B1C08" w:rsidRPr="00BB1CC7">
        <w:rPr>
          <w:rFonts w:ascii="Century Gothic" w:hAnsi="Century Gothic"/>
          <w:sz w:val="24"/>
          <w:szCs w:val="24"/>
        </w:rPr>
        <w:t>zar</w:t>
      </w:r>
      <w:r w:rsidRPr="00BB1CC7">
        <w:rPr>
          <w:rFonts w:ascii="Century Gothic" w:hAnsi="Century Gothic"/>
          <w:sz w:val="24"/>
          <w:szCs w:val="24"/>
        </w:rPr>
        <w:t xml:space="preserve"> que todas las personas puedan disfrutar de sus derechos humanos. </w:t>
      </w:r>
    </w:p>
    <w:p w14:paraId="5AA3FD8C" w14:textId="7BFD324D" w:rsidR="009B1C08" w:rsidRDefault="009B1C08" w:rsidP="00BB1CC7">
      <w:pPr>
        <w:spacing w:line="360" w:lineRule="auto"/>
        <w:jc w:val="both"/>
        <w:rPr>
          <w:rFonts w:ascii="Century Gothic" w:hAnsi="Century Gothic"/>
          <w:sz w:val="24"/>
          <w:szCs w:val="24"/>
        </w:rPr>
      </w:pPr>
      <w:r w:rsidRPr="00BB1CC7">
        <w:rPr>
          <w:rFonts w:ascii="Century Gothic" w:hAnsi="Century Gothic"/>
          <w:sz w:val="24"/>
          <w:szCs w:val="24"/>
        </w:rPr>
        <w:t xml:space="preserve">Con esta reforma tenemos la oportunidad de asegurar que el presupuesto dirigido a los diferentes grupos de personas </w:t>
      </w:r>
      <w:r w:rsidR="006D5208">
        <w:rPr>
          <w:rFonts w:ascii="Century Gothic" w:hAnsi="Century Gothic"/>
          <w:sz w:val="24"/>
          <w:szCs w:val="24"/>
        </w:rPr>
        <w:t xml:space="preserve">en </w:t>
      </w:r>
      <w:r w:rsidRPr="00BB1CC7">
        <w:rPr>
          <w:rFonts w:ascii="Century Gothic" w:hAnsi="Century Gothic"/>
          <w:sz w:val="24"/>
          <w:szCs w:val="24"/>
        </w:rPr>
        <w:t xml:space="preserve">situación de vulnerabilidad de Chihuahua no sea jamás menor al del año inmediato anterior, y que pongamos por delante a aquellos que históricamente quedaban al final de la distribución del recurso.  </w:t>
      </w:r>
    </w:p>
    <w:p w14:paraId="26CB750D" w14:textId="665630F0" w:rsidR="006D5208" w:rsidRDefault="006D5208" w:rsidP="00BB1CC7">
      <w:pPr>
        <w:spacing w:line="360" w:lineRule="auto"/>
        <w:jc w:val="both"/>
        <w:rPr>
          <w:rFonts w:ascii="Century Gothic" w:hAnsi="Century Gothic"/>
          <w:sz w:val="24"/>
          <w:szCs w:val="24"/>
        </w:rPr>
      </w:pPr>
    </w:p>
    <w:p w14:paraId="13A05064" w14:textId="77777777" w:rsidR="006D5208" w:rsidRPr="00BB1CC7" w:rsidRDefault="006D5208" w:rsidP="00BB1CC7">
      <w:pPr>
        <w:spacing w:line="360" w:lineRule="auto"/>
        <w:jc w:val="both"/>
        <w:rPr>
          <w:rFonts w:ascii="Century Gothic" w:hAnsi="Century Gothic"/>
          <w:sz w:val="24"/>
          <w:szCs w:val="24"/>
        </w:rPr>
      </w:pPr>
    </w:p>
    <w:p w14:paraId="56D3B7F0" w14:textId="28342538" w:rsidR="00BB1CC7" w:rsidRDefault="00BB1CC7" w:rsidP="00BB1CC7">
      <w:pPr>
        <w:spacing w:line="360" w:lineRule="auto"/>
        <w:jc w:val="both"/>
        <w:rPr>
          <w:rFonts w:ascii="Century Gothic" w:hAnsi="Century Gothic" w:cs="Open Sans"/>
          <w:color w:val="333333"/>
          <w:sz w:val="24"/>
          <w:szCs w:val="24"/>
        </w:rPr>
      </w:pPr>
      <w:r w:rsidRPr="00BB1CC7">
        <w:rPr>
          <w:rFonts w:ascii="Century Gothic" w:hAnsi="Century Gothic" w:cs="Open Sans"/>
          <w:color w:val="333333"/>
          <w:sz w:val="24"/>
          <w:szCs w:val="24"/>
        </w:rPr>
        <w:lastRenderedPageBreak/>
        <w:t>Es por lo anterior, que ponemos a su consideración el siguiente proyecto de:</w:t>
      </w:r>
    </w:p>
    <w:p w14:paraId="73849661" w14:textId="77777777" w:rsidR="006D5208" w:rsidRPr="00BB1CC7" w:rsidRDefault="006D5208" w:rsidP="00BB1CC7">
      <w:pPr>
        <w:spacing w:line="360" w:lineRule="auto"/>
        <w:jc w:val="both"/>
        <w:rPr>
          <w:rFonts w:ascii="Century Gothic" w:hAnsi="Century Gothic" w:cs="Open Sans"/>
          <w:color w:val="333333"/>
          <w:sz w:val="24"/>
          <w:szCs w:val="24"/>
        </w:rPr>
      </w:pPr>
    </w:p>
    <w:p w14:paraId="378FF198" w14:textId="4089FA8E" w:rsidR="006D5208" w:rsidRDefault="009B1C08" w:rsidP="006D5208">
      <w:pPr>
        <w:spacing w:after="120" w:line="360" w:lineRule="auto"/>
        <w:ind w:left="426"/>
        <w:jc w:val="center"/>
        <w:rPr>
          <w:rFonts w:ascii="Century Gothic" w:eastAsia="Century Gothic" w:hAnsi="Century Gothic" w:cs="Century Gothic"/>
          <w:b/>
          <w:sz w:val="24"/>
          <w:szCs w:val="24"/>
        </w:rPr>
      </w:pPr>
      <w:r w:rsidRPr="00BB1CC7">
        <w:rPr>
          <w:rFonts w:ascii="Century Gothic" w:eastAsia="Century Gothic" w:hAnsi="Century Gothic" w:cs="Century Gothic"/>
          <w:b/>
          <w:sz w:val="24"/>
          <w:szCs w:val="24"/>
          <w:highlight w:val="white"/>
        </w:rPr>
        <w:t>D E C R E T O</w:t>
      </w:r>
    </w:p>
    <w:p w14:paraId="085DE20C" w14:textId="77777777" w:rsidR="006D5208" w:rsidRDefault="006D5208" w:rsidP="006D5208">
      <w:pPr>
        <w:spacing w:after="120" w:line="360" w:lineRule="auto"/>
        <w:ind w:left="426"/>
        <w:jc w:val="center"/>
        <w:rPr>
          <w:rFonts w:ascii="Century Gothic" w:eastAsia="Century Gothic" w:hAnsi="Century Gothic" w:cs="Century Gothic"/>
          <w:b/>
          <w:sz w:val="24"/>
          <w:szCs w:val="24"/>
        </w:rPr>
      </w:pPr>
    </w:p>
    <w:p w14:paraId="13A2EF86" w14:textId="59C49A9A" w:rsidR="009B1C08" w:rsidRPr="006D5208" w:rsidRDefault="009B1C08" w:rsidP="006D5208">
      <w:pPr>
        <w:spacing w:after="120" w:line="360" w:lineRule="auto"/>
        <w:jc w:val="both"/>
        <w:rPr>
          <w:rFonts w:ascii="Century Gothic" w:eastAsia="Century Gothic" w:hAnsi="Century Gothic" w:cs="Century Gothic"/>
          <w:b/>
          <w:sz w:val="24"/>
          <w:szCs w:val="24"/>
          <w:highlight w:val="white"/>
        </w:rPr>
      </w:pPr>
      <w:r w:rsidRPr="00BB1CC7">
        <w:rPr>
          <w:rFonts w:ascii="Century Gothic" w:eastAsia="Century Gothic" w:hAnsi="Century Gothic" w:cs="Century Gothic"/>
          <w:b/>
          <w:sz w:val="24"/>
          <w:szCs w:val="24"/>
        </w:rPr>
        <w:t xml:space="preserve">ARTÍCULO </w:t>
      </w:r>
      <w:r w:rsidR="00BB1CC7">
        <w:rPr>
          <w:rFonts w:ascii="Century Gothic" w:eastAsia="Century Gothic" w:hAnsi="Century Gothic" w:cs="Century Gothic"/>
          <w:b/>
          <w:sz w:val="24"/>
          <w:szCs w:val="24"/>
        </w:rPr>
        <w:t>ÚNICO</w:t>
      </w:r>
      <w:r w:rsidRPr="00BB1CC7">
        <w:rPr>
          <w:rFonts w:ascii="Century Gothic" w:eastAsia="Century Gothic" w:hAnsi="Century Gothic" w:cs="Century Gothic"/>
          <w:b/>
          <w:sz w:val="24"/>
          <w:szCs w:val="24"/>
          <w:highlight w:val="white"/>
        </w:rPr>
        <w:t xml:space="preserve">. </w:t>
      </w:r>
      <w:r w:rsidR="00BB1CC7" w:rsidRPr="00BB1CC7">
        <w:rPr>
          <w:rFonts w:ascii="Century Gothic" w:eastAsia="Century Gothic" w:hAnsi="Century Gothic" w:cs="Century Gothic"/>
          <w:bCs/>
          <w:sz w:val="24"/>
          <w:szCs w:val="24"/>
        </w:rPr>
        <w:t>S</w:t>
      </w:r>
      <w:r w:rsidRPr="00BB1CC7">
        <w:rPr>
          <w:rFonts w:ascii="Century Gothic" w:eastAsia="Century Gothic" w:hAnsi="Century Gothic" w:cs="Century Gothic"/>
          <w:sz w:val="24"/>
          <w:szCs w:val="24"/>
        </w:rPr>
        <w:t xml:space="preserve">e adiciona el artículo 36 Bis </w:t>
      </w:r>
      <w:r w:rsidR="006D5208">
        <w:rPr>
          <w:rFonts w:ascii="Century Gothic" w:eastAsia="Century Gothic" w:hAnsi="Century Gothic" w:cs="Century Gothic"/>
          <w:sz w:val="24"/>
          <w:szCs w:val="24"/>
        </w:rPr>
        <w:t>a</w:t>
      </w:r>
      <w:r w:rsidRPr="00BB1CC7">
        <w:rPr>
          <w:rFonts w:ascii="Century Gothic" w:eastAsia="Century Gothic" w:hAnsi="Century Gothic" w:cs="Century Gothic"/>
          <w:sz w:val="24"/>
          <w:szCs w:val="24"/>
        </w:rPr>
        <w:t xml:space="preserve"> la </w:t>
      </w:r>
      <w:r w:rsidRPr="00BB1CC7">
        <w:rPr>
          <w:rFonts w:ascii="Century Gothic" w:hAnsi="Century Gothic"/>
          <w:sz w:val="24"/>
          <w:szCs w:val="24"/>
        </w:rPr>
        <w:t>Ley de Presupuesto de Egresos, Contabilidad Gubernamental y Gasto Público del Estado de Chihuahua</w:t>
      </w:r>
      <w:r w:rsidRPr="00BB1CC7">
        <w:rPr>
          <w:rFonts w:ascii="Century Gothic" w:eastAsia="Century Gothic" w:hAnsi="Century Gothic" w:cs="Century Gothic"/>
          <w:sz w:val="24"/>
          <w:szCs w:val="24"/>
        </w:rPr>
        <w:t xml:space="preserve"> para quedar en los siguientes términos:</w:t>
      </w:r>
    </w:p>
    <w:p w14:paraId="5DC95423" w14:textId="77777777" w:rsidR="009B1C08" w:rsidRPr="00BB1CC7" w:rsidRDefault="009B1C08" w:rsidP="006D5208">
      <w:pPr>
        <w:spacing w:beforeLines="80" w:before="192" w:afterLines="80" w:after="192" w:line="360" w:lineRule="auto"/>
        <w:jc w:val="both"/>
        <w:rPr>
          <w:rFonts w:ascii="Century Gothic" w:hAnsi="Century Gothic" w:cs="Calibri"/>
          <w:b/>
          <w:sz w:val="24"/>
          <w:szCs w:val="24"/>
        </w:rPr>
      </w:pPr>
      <w:r w:rsidRPr="00BB1CC7">
        <w:rPr>
          <w:rFonts w:ascii="Century Gothic" w:hAnsi="Century Gothic" w:cs="Calibri"/>
          <w:b/>
          <w:sz w:val="24"/>
          <w:szCs w:val="24"/>
        </w:rPr>
        <w:t>Artículo 36 Bis</w:t>
      </w:r>
    </w:p>
    <w:p w14:paraId="0FADA4F3" w14:textId="77777777" w:rsidR="009B1C08" w:rsidRPr="00BB1CC7" w:rsidRDefault="009B1C08" w:rsidP="006D5208">
      <w:pPr>
        <w:spacing w:line="360" w:lineRule="auto"/>
        <w:jc w:val="both"/>
        <w:rPr>
          <w:rFonts w:ascii="Century Gothic" w:hAnsi="Century Gothic"/>
          <w:b/>
          <w:bCs/>
          <w:sz w:val="24"/>
          <w:szCs w:val="24"/>
        </w:rPr>
      </w:pPr>
      <w:r w:rsidRPr="00BB1CC7">
        <w:rPr>
          <w:rFonts w:ascii="Century Gothic" w:hAnsi="Century Gothic"/>
          <w:b/>
          <w:bCs/>
          <w:sz w:val="24"/>
          <w:szCs w:val="24"/>
        </w:rPr>
        <w:t>Se deberá garantizar la progresividad en el presupuesto de egresos respecto al año fiscal inmediato anterior, en favor de los programas destinados a la protección de los derechos humanos de mujeres, niñas, niños y adolescentes, víctimas del delito, pueblos y comunidades indígenas, personas migrantes y personas con discapacidad.</w:t>
      </w:r>
    </w:p>
    <w:p w14:paraId="139DB6C7" w14:textId="77777777" w:rsidR="009B1C08" w:rsidRPr="00BB1CC7" w:rsidRDefault="009B1C08" w:rsidP="00BB1CC7">
      <w:pPr>
        <w:pBdr>
          <w:top w:val="nil"/>
          <w:left w:val="nil"/>
          <w:bottom w:val="nil"/>
          <w:right w:val="nil"/>
          <w:between w:val="nil"/>
        </w:pBdr>
        <w:spacing w:before="80" w:line="360" w:lineRule="auto"/>
        <w:ind w:left="426"/>
        <w:jc w:val="both"/>
        <w:rPr>
          <w:rFonts w:ascii="Century Gothic" w:eastAsia="Century Gothic" w:hAnsi="Century Gothic" w:cs="Century Gothic"/>
          <w:b/>
          <w:color w:val="000000"/>
          <w:sz w:val="24"/>
          <w:szCs w:val="24"/>
        </w:rPr>
      </w:pPr>
    </w:p>
    <w:p w14:paraId="2479A21F" w14:textId="77777777" w:rsidR="009B1C08" w:rsidRPr="00BB1CC7" w:rsidRDefault="009B1C08" w:rsidP="00BB1CC7">
      <w:pPr>
        <w:pBdr>
          <w:top w:val="nil"/>
          <w:left w:val="nil"/>
          <w:bottom w:val="nil"/>
          <w:right w:val="nil"/>
          <w:between w:val="nil"/>
        </w:pBdr>
        <w:spacing w:line="360" w:lineRule="auto"/>
        <w:ind w:left="426"/>
        <w:jc w:val="center"/>
        <w:rPr>
          <w:rFonts w:ascii="Century Gothic" w:eastAsia="Century Gothic" w:hAnsi="Century Gothic" w:cs="Century Gothic"/>
          <w:b/>
          <w:color w:val="000000"/>
          <w:sz w:val="24"/>
          <w:szCs w:val="24"/>
          <w:lang w:val="en-US"/>
        </w:rPr>
      </w:pPr>
      <w:r w:rsidRPr="00BB1CC7">
        <w:rPr>
          <w:rFonts w:ascii="Century Gothic" w:eastAsia="Century Gothic" w:hAnsi="Century Gothic" w:cs="Century Gothic"/>
          <w:b/>
          <w:color w:val="000000"/>
          <w:sz w:val="24"/>
          <w:szCs w:val="24"/>
          <w:lang w:val="en-US"/>
        </w:rPr>
        <w:t>T R A N S I T O R I O S:</w:t>
      </w:r>
    </w:p>
    <w:p w14:paraId="13D32FD3" w14:textId="77777777" w:rsidR="006D5208" w:rsidRDefault="006D5208" w:rsidP="006D5208">
      <w:pPr>
        <w:pBdr>
          <w:top w:val="nil"/>
          <w:left w:val="nil"/>
          <w:bottom w:val="nil"/>
          <w:right w:val="nil"/>
          <w:between w:val="nil"/>
        </w:pBdr>
        <w:spacing w:line="360" w:lineRule="auto"/>
        <w:jc w:val="both"/>
        <w:rPr>
          <w:rFonts w:ascii="Century Gothic" w:eastAsia="Century Gothic" w:hAnsi="Century Gothic" w:cs="Century Gothic"/>
          <w:b/>
          <w:color w:val="000000"/>
          <w:sz w:val="24"/>
          <w:szCs w:val="24"/>
          <w:lang w:val="en-US"/>
        </w:rPr>
      </w:pPr>
    </w:p>
    <w:p w14:paraId="562C79F4" w14:textId="14B58C47" w:rsidR="009B1C08" w:rsidRPr="00BB1CC7" w:rsidRDefault="009B1C08" w:rsidP="006D5208">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BB1CC7">
        <w:rPr>
          <w:rFonts w:ascii="Century Gothic" w:eastAsia="Century Gothic" w:hAnsi="Century Gothic" w:cs="Century Gothic"/>
          <w:b/>
          <w:color w:val="000000"/>
          <w:sz w:val="24"/>
          <w:szCs w:val="24"/>
        </w:rPr>
        <w:t xml:space="preserve">ARTÍCULO PRIMERO.  </w:t>
      </w:r>
      <w:r w:rsidRPr="00BB1CC7">
        <w:rPr>
          <w:rFonts w:ascii="Century Gothic" w:eastAsia="Century Gothic" w:hAnsi="Century Gothic" w:cs="Century Gothic"/>
          <w:color w:val="000000"/>
          <w:sz w:val="24"/>
          <w:szCs w:val="24"/>
        </w:rPr>
        <w:t>El presente Decreto entrará en vigor al día siguiente de su publicación en el Periódico Oficial del Estado.</w:t>
      </w:r>
    </w:p>
    <w:p w14:paraId="19D4C36A" w14:textId="77777777" w:rsidR="009B1C08" w:rsidRPr="00BB1CC7" w:rsidRDefault="009B1C08" w:rsidP="006D5208">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BB1CC7">
        <w:rPr>
          <w:rFonts w:ascii="Century Gothic" w:eastAsia="Century Gothic" w:hAnsi="Century Gothic" w:cs="Century Gothic"/>
          <w:b/>
          <w:color w:val="000000"/>
          <w:sz w:val="24"/>
          <w:szCs w:val="24"/>
        </w:rPr>
        <w:t xml:space="preserve">ECONÓMICO. - </w:t>
      </w:r>
      <w:r w:rsidRPr="00BB1CC7">
        <w:rPr>
          <w:rFonts w:ascii="Century Gothic" w:eastAsia="Century Gothic" w:hAnsi="Century Gothic" w:cs="Century Gothic"/>
          <w:color w:val="000000"/>
          <w:sz w:val="24"/>
          <w:szCs w:val="24"/>
        </w:rPr>
        <w:t>Aprobado que sea túrnese a la Secretaría de Asuntos Legislativos y Jurídicos para que elabore la minuta de Decreto en los términos que deba publicarse.</w:t>
      </w:r>
    </w:p>
    <w:p w14:paraId="366FE6F9" w14:textId="7EED42AE" w:rsidR="007E0F3C" w:rsidRDefault="009B1C08" w:rsidP="006D5208">
      <w:pPr>
        <w:pBdr>
          <w:top w:val="nil"/>
          <w:left w:val="nil"/>
          <w:bottom w:val="nil"/>
          <w:right w:val="nil"/>
          <w:between w:val="nil"/>
        </w:pBdr>
        <w:spacing w:after="192" w:line="360" w:lineRule="auto"/>
        <w:jc w:val="both"/>
        <w:rPr>
          <w:rFonts w:ascii="Century Gothic" w:eastAsia="Century Gothic" w:hAnsi="Century Gothic" w:cs="Century Gothic"/>
          <w:color w:val="000000"/>
          <w:sz w:val="24"/>
          <w:szCs w:val="24"/>
        </w:rPr>
      </w:pPr>
      <w:r w:rsidRPr="00BB1CC7">
        <w:rPr>
          <w:rFonts w:ascii="Century Gothic" w:eastAsia="Century Gothic" w:hAnsi="Century Gothic" w:cs="Century Gothic"/>
          <w:b/>
          <w:color w:val="000000"/>
          <w:sz w:val="24"/>
          <w:szCs w:val="24"/>
        </w:rPr>
        <w:t>D A D O</w:t>
      </w:r>
      <w:r w:rsidRPr="00BB1CC7">
        <w:rPr>
          <w:rFonts w:ascii="Century Gothic" w:eastAsia="Century Gothic" w:hAnsi="Century Gothic" w:cs="Century Gothic"/>
          <w:color w:val="000000"/>
          <w:sz w:val="24"/>
          <w:szCs w:val="24"/>
        </w:rPr>
        <w:t xml:space="preserve"> en el salón de sesiones del Poder Legislativo a los 2</w:t>
      </w:r>
      <w:r w:rsidR="00BB1CC7" w:rsidRPr="00BB1CC7">
        <w:rPr>
          <w:rFonts w:ascii="Century Gothic" w:eastAsia="Century Gothic" w:hAnsi="Century Gothic" w:cs="Century Gothic"/>
          <w:color w:val="000000"/>
          <w:sz w:val="24"/>
          <w:szCs w:val="24"/>
        </w:rPr>
        <w:t xml:space="preserve">1 </w:t>
      </w:r>
      <w:r w:rsidRPr="00BB1CC7">
        <w:rPr>
          <w:rFonts w:ascii="Century Gothic" w:eastAsia="Century Gothic" w:hAnsi="Century Gothic" w:cs="Century Gothic"/>
          <w:color w:val="000000"/>
          <w:sz w:val="24"/>
          <w:szCs w:val="24"/>
        </w:rPr>
        <w:t xml:space="preserve">días del mes de </w:t>
      </w:r>
      <w:r w:rsidR="00BB1CC7" w:rsidRPr="00BB1CC7">
        <w:rPr>
          <w:rFonts w:ascii="Century Gothic" w:eastAsia="Century Gothic" w:hAnsi="Century Gothic" w:cs="Century Gothic"/>
          <w:color w:val="000000"/>
          <w:sz w:val="24"/>
          <w:szCs w:val="24"/>
        </w:rPr>
        <w:t>noviembre</w:t>
      </w:r>
      <w:r w:rsidRPr="00BB1CC7">
        <w:rPr>
          <w:rFonts w:ascii="Century Gothic" w:eastAsia="Century Gothic" w:hAnsi="Century Gothic" w:cs="Century Gothic"/>
          <w:color w:val="000000"/>
          <w:sz w:val="24"/>
          <w:szCs w:val="24"/>
        </w:rPr>
        <w:t xml:space="preserve"> del año dos mil veinti</w:t>
      </w:r>
      <w:r w:rsidR="00BB1CC7" w:rsidRPr="00BB1CC7">
        <w:rPr>
          <w:rFonts w:ascii="Century Gothic" w:eastAsia="Century Gothic" w:hAnsi="Century Gothic" w:cs="Century Gothic"/>
          <w:color w:val="000000"/>
          <w:sz w:val="24"/>
          <w:szCs w:val="24"/>
        </w:rPr>
        <w:t>cuatro</w:t>
      </w:r>
      <w:r w:rsidRPr="00BB1CC7">
        <w:rPr>
          <w:rFonts w:ascii="Century Gothic" w:eastAsia="Century Gothic" w:hAnsi="Century Gothic" w:cs="Century Gothic"/>
          <w:color w:val="000000"/>
          <w:sz w:val="24"/>
          <w:szCs w:val="24"/>
        </w:rPr>
        <w:t>.</w:t>
      </w:r>
    </w:p>
    <w:p w14:paraId="6F241162" w14:textId="77777777" w:rsidR="00380AB7" w:rsidRDefault="00380AB7" w:rsidP="006D5208">
      <w:pPr>
        <w:pBdr>
          <w:top w:val="nil"/>
          <w:left w:val="nil"/>
          <w:bottom w:val="nil"/>
          <w:right w:val="nil"/>
          <w:between w:val="nil"/>
        </w:pBdr>
        <w:spacing w:after="192" w:line="360" w:lineRule="auto"/>
        <w:jc w:val="both"/>
        <w:rPr>
          <w:rFonts w:ascii="Century Gothic" w:eastAsia="Century Gothic" w:hAnsi="Century Gothic" w:cs="Century Gothic"/>
          <w:color w:val="000000"/>
          <w:sz w:val="24"/>
          <w:szCs w:val="24"/>
        </w:rPr>
      </w:pPr>
    </w:p>
    <w:p w14:paraId="31EB5CE5" w14:textId="77777777" w:rsidR="00380AB7" w:rsidRDefault="00380AB7" w:rsidP="00380AB7">
      <w:pPr>
        <w:spacing w:line="360" w:lineRule="auto"/>
        <w:jc w:val="center"/>
        <w:rPr>
          <w:rFonts w:ascii="Century Gothic" w:hAnsi="Century Gothic" w:cs="Open Sans"/>
          <w:b/>
          <w:bCs/>
          <w:color w:val="333333"/>
          <w:sz w:val="24"/>
          <w:szCs w:val="24"/>
        </w:rPr>
      </w:pPr>
      <w:r w:rsidRPr="00EC0E19">
        <w:rPr>
          <w:rFonts w:ascii="Century Gothic" w:hAnsi="Century Gothic" w:cs="Open Sans"/>
          <w:b/>
          <w:bCs/>
          <w:color w:val="333333"/>
          <w:sz w:val="24"/>
          <w:szCs w:val="24"/>
        </w:rPr>
        <w:lastRenderedPageBreak/>
        <w:t>ATENTAMENTE</w:t>
      </w:r>
    </w:p>
    <w:p w14:paraId="2D5782F3" w14:textId="77777777" w:rsidR="00380AB7" w:rsidRPr="005C2F63" w:rsidRDefault="00380AB7" w:rsidP="00380AB7">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 xml:space="preserve">GRUPO PARLAMENTARIO DE MORENA </w:t>
      </w:r>
    </w:p>
    <w:p w14:paraId="1147823E" w14:textId="77777777" w:rsidR="00380AB7" w:rsidRPr="005C2F63" w:rsidRDefault="00380AB7" w:rsidP="00380AB7">
      <w:pPr>
        <w:spacing w:before="240" w:after="120" w:line="360" w:lineRule="auto"/>
        <w:jc w:val="center"/>
        <w:rPr>
          <w:rFonts w:ascii="Century Gothic" w:eastAsia="Montserrat" w:hAnsi="Century Gothic" w:cs="Montserrat"/>
          <w:b/>
          <w:sz w:val="24"/>
          <w:szCs w:val="24"/>
          <w:shd w:val="clear" w:color="auto" w:fill="FEFFFF"/>
          <w:lang w:val="es-ES"/>
        </w:rPr>
      </w:pPr>
    </w:p>
    <w:tbl>
      <w:tblPr>
        <w:tblW w:w="90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5"/>
        <w:gridCol w:w="4515"/>
      </w:tblGrid>
      <w:tr w:rsidR="00380AB7" w:rsidRPr="005C2F63" w14:paraId="0E95786B" w14:textId="77777777" w:rsidTr="006A7F2E">
        <w:trPr>
          <w:trHeight w:val="440"/>
          <w:jc w:val="center"/>
        </w:trPr>
        <w:tc>
          <w:tcPr>
            <w:tcW w:w="9028"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F5C2F74"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 xml:space="preserve">LETICIA ORTEGA MÁYNEZ </w:t>
            </w:r>
          </w:p>
        </w:tc>
      </w:tr>
      <w:tr w:rsidR="00380AB7" w:rsidRPr="005C2F63" w14:paraId="5216EEA3" w14:textId="77777777" w:rsidTr="006A7F2E">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7395D57"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p>
          <w:p w14:paraId="0EBE9C7D"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EDIN CUAUHTÉMOC ESTRADA SOTELO</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1861EA2"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p>
          <w:p w14:paraId="515201AB"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 xml:space="preserve">MAGDALENA RENTERÍA PÉREZ </w:t>
            </w:r>
          </w:p>
        </w:tc>
      </w:tr>
      <w:tr w:rsidR="00380AB7" w:rsidRPr="005C2F63" w14:paraId="11CC352F" w14:textId="77777777" w:rsidTr="006A7F2E">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4CDC42C"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p>
          <w:p w14:paraId="74EBA778"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 xml:space="preserve">BRENDA FRANCISCA RÍOS PRIETO </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F849E7B"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p>
          <w:p w14:paraId="6DC0A022"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ELIZABETH GUZMAN ARGUETA</w:t>
            </w:r>
          </w:p>
        </w:tc>
      </w:tr>
      <w:tr w:rsidR="00380AB7" w:rsidRPr="005C2F63" w14:paraId="22C0846A" w14:textId="77777777" w:rsidTr="006A7F2E">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221173A"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p>
          <w:p w14:paraId="2A84ED07"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 xml:space="preserve">EDITH PALMA ONTIVEROS </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8860108"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p>
          <w:p w14:paraId="57E2616D"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HERMINIA GÓMEZ CARRASCO</w:t>
            </w:r>
          </w:p>
        </w:tc>
      </w:tr>
      <w:tr w:rsidR="00380AB7" w:rsidRPr="005C2F63" w14:paraId="7D163AC0" w14:textId="77777777" w:rsidTr="006A7F2E">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EA4ACF9"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p>
          <w:p w14:paraId="1E8CBDD3"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JAEL ARGÜELLES DÍAZ</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85B1AAD"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 xml:space="preserve"> </w:t>
            </w:r>
          </w:p>
          <w:p w14:paraId="7A1B1C36"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MARÍA ANTONIETA PÉREZ REYES</w:t>
            </w:r>
          </w:p>
        </w:tc>
      </w:tr>
      <w:tr w:rsidR="00380AB7" w:rsidRPr="005C2F63" w14:paraId="78D2D23E" w14:textId="77777777" w:rsidTr="006A7F2E">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8D8D0C2"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p>
          <w:p w14:paraId="10CD89CE"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ÓSCAR DANIEL AVITIA ARELLANES</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82C69D2"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p>
          <w:p w14:paraId="1AE469CB"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 xml:space="preserve">PEDRO TORRES ESTRADA </w:t>
            </w:r>
          </w:p>
          <w:p w14:paraId="47BB55AE" w14:textId="77777777" w:rsidR="00380AB7" w:rsidRPr="005C2F63" w:rsidRDefault="00380AB7" w:rsidP="006A7F2E">
            <w:pPr>
              <w:widowControl w:val="0"/>
              <w:spacing w:line="360" w:lineRule="auto"/>
              <w:rPr>
                <w:rFonts w:ascii="Century Gothic" w:eastAsia="Montserrat" w:hAnsi="Century Gothic" w:cs="Montserrat"/>
                <w:b/>
                <w:sz w:val="24"/>
                <w:szCs w:val="24"/>
                <w:shd w:val="clear" w:color="auto" w:fill="FEFFFF"/>
                <w:lang w:val="es-ES"/>
              </w:rPr>
            </w:pPr>
          </w:p>
        </w:tc>
      </w:tr>
      <w:tr w:rsidR="00380AB7" w:rsidRPr="005C2F63" w14:paraId="0CB3B4F4" w14:textId="77777777" w:rsidTr="006A7F2E">
        <w:trPr>
          <w:trHeight w:val="440"/>
          <w:jc w:val="center"/>
        </w:trPr>
        <w:tc>
          <w:tcPr>
            <w:tcW w:w="9028"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AD89327"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p>
          <w:p w14:paraId="7192181B" w14:textId="77777777" w:rsidR="00380AB7" w:rsidRPr="005C2F63" w:rsidRDefault="00380AB7" w:rsidP="006A7F2E">
            <w:pPr>
              <w:spacing w:before="240" w:after="120" w:line="360" w:lineRule="auto"/>
              <w:jc w:val="center"/>
              <w:rPr>
                <w:rFonts w:ascii="Century Gothic" w:eastAsia="Montserrat" w:hAnsi="Century Gothic" w:cs="Montserrat"/>
                <w:b/>
                <w:sz w:val="24"/>
                <w:szCs w:val="24"/>
                <w:shd w:val="clear" w:color="auto" w:fill="FEFFFF"/>
                <w:lang w:val="es-ES"/>
              </w:rPr>
            </w:pPr>
            <w:r w:rsidRPr="005C2F63">
              <w:rPr>
                <w:rFonts w:ascii="Century Gothic" w:eastAsia="Montserrat" w:hAnsi="Century Gothic" w:cs="Montserrat"/>
                <w:b/>
                <w:sz w:val="24"/>
                <w:szCs w:val="24"/>
                <w:shd w:val="clear" w:color="auto" w:fill="FEFFFF"/>
                <w:lang w:val="es-ES"/>
              </w:rPr>
              <w:t>ROSANA DÍAZ REYES</w:t>
            </w:r>
          </w:p>
        </w:tc>
      </w:tr>
    </w:tbl>
    <w:p w14:paraId="5C57DDF8" w14:textId="77777777" w:rsidR="00380AB7" w:rsidRPr="00BB1CC7" w:rsidRDefault="00380AB7" w:rsidP="006D5208">
      <w:pPr>
        <w:pBdr>
          <w:top w:val="nil"/>
          <w:left w:val="nil"/>
          <w:bottom w:val="nil"/>
          <w:right w:val="nil"/>
          <w:between w:val="nil"/>
        </w:pBdr>
        <w:spacing w:after="192" w:line="360" w:lineRule="auto"/>
        <w:jc w:val="both"/>
        <w:rPr>
          <w:rFonts w:ascii="Century Gothic" w:hAnsi="Century Gothic"/>
          <w:sz w:val="24"/>
          <w:szCs w:val="24"/>
        </w:rPr>
      </w:pPr>
    </w:p>
    <w:sectPr w:rsidR="00380AB7" w:rsidRPr="00BB1CC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E8963" w14:textId="77777777" w:rsidR="00A85F83" w:rsidRDefault="00A85F83" w:rsidP="009A19FB">
      <w:pPr>
        <w:spacing w:after="0" w:line="240" w:lineRule="auto"/>
      </w:pPr>
      <w:r>
        <w:separator/>
      </w:r>
    </w:p>
  </w:endnote>
  <w:endnote w:type="continuationSeparator" w:id="0">
    <w:p w14:paraId="4108794B" w14:textId="77777777" w:rsidR="00A85F83" w:rsidRDefault="00A85F83" w:rsidP="009A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59F63" w14:textId="77777777" w:rsidR="00A85F83" w:rsidRDefault="00A85F83" w:rsidP="009A19FB">
      <w:pPr>
        <w:spacing w:after="0" w:line="240" w:lineRule="auto"/>
      </w:pPr>
      <w:r>
        <w:separator/>
      </w:r>
    </w:p>
  </w:footnote>
  <w:footnote w:type="continuationSeparator" w:id="0">
    <w:p w14:paraId="70BE708C" w14:textId="77777777" w:rsidR="00A85F83" w:rsidRDefault="00A85F83" w:rsidP="009A1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55B39"/>
    <w:multiLevelType w:val="multilevel"/>
    <w:tmpl w:val="D30851D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753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7B"/>
    <w:rsid w:val="000F0B6B"/>
    <w:rsid w:val="00180845"/>
    <w:rsid w:val="0019433C"/>
    <w:rsid w:val="002A32CE"/>
    <w:rsid w:val="002B350D"/>
    <w:rsid w:val="00380AB7"/>
    <w:rsid w:val="003E5286"/>
    <w:rsid w:val="00401655"/>
    <w:rsid w:val="0045703E"/>
    <w:rsid w:val="004F3FE2"/>
    <w:rsid w:val="00522099"/>
    <w:rsid w:val="005B4D3D"/>
    <w:rsid w:val="005B5735"/>
    <w:rsid w:val="006D5208"/>
    <w:rsid w:val="007A3C78"/>
    <w:rsid w:val="007E0F3C"/>
    <w:rsid w:val="00871AC5"/>
    <w:rsid w:val="0089736C"/>
    <w:rsid w:val="00901583"/>
    <w:rsid w:val="00923766"/>
    <w:rsid w:val="00926872"/>
    <w:rsid w:val="009A19FB"/>
    <w:rsid w:val="009B1C08"/>
    <w:rsid w:val="009B61D6"/>
    <w:rsid w:val="00A217F6"/>
    <w:rsid w:val="00A65889"/>
    <w:rsid w:val="00A85F83"/>
    <w:rsid w:val="00B141BB"/>
    <w:rsid w:val="00B215A3"/>
    <w:rsid w:val="00B728FB"/>
    <w:rsid w:val="00BB1CC7"/>
    <w:rsid w:val="00C9569E"/>
    <w:rsid w:val="00CA7450"/>
    <w:rsid w:val="00CE0B7B"/>
    <w:rsid w:val="00DE5EE5"/>
    <w:rsid w:val="00E21C22"/>
    <w:rsid w:val="00E9493F"/>
    <w:rsid w:val="00EE0260"/>
    <w:rsid w:val="00F80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FFC6"/>
  <w15:chartTrackingRefBased/>
  <w15:docId w15:val="{B774192A-D689-4AA1-B3BC-1B414B4A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B7B"/>
    <w:pPr>
      <w:ind w:left="720"/>
      <w:contextualSpacing/>
    </w:pPr>
  </w:style>
  <w:style w:type="character" w:styleId="Hipervnculo">
    <w:name w:val="Hyperlink"/>
    <w:basedOn w:val="Fuentedeprrafopredeter"/>
    <w:uiPriority w:val="99"/>
    <w:unhideWhenUsed/>
    <w:rsid w:val="005B4D3D"/>
    <w:rPr>
      <w:color w:val="0563C1" w:themeColor="hyperlink"/>
      <w:u w:val="single"/>
    </w:rPr>
  </w:style>
  <w:style w:type="character" w:styleId="Mencinsinresolver">
    <w:name w:val="Unresolved Mention"/>
    <w:basedOn w:val="Fuentedeprrafopredeter"/>
    <w:uiPriority w:val="99"/>
    <w:semiHidden/>
    <w:unhideWhenUsed/>
    <w:rsid w:val="005B4D3D"/>
    <w:rPr>
      <w:color w:val="605E5C"/>
      <w:shd w:val="clear" w:color="auto" w:fill="E1DFDD"/>
    </w:rPr>
  </w:style>
  <w:style w:type="paragraph" w:styleId="Textonotapie">
    <w:name w:val="footnote text"/>
    <w:basedOn w:val="Normal"/>
    <w:link w:val="TextonotapieCar"/>
    <w:uiPriority w:val="99"/>
    <w:semiHidden/>
    <w:unhideWhenUsed/>
    <w:rsid w:val="009A19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19FB"/>
    <w:rPr>
      <w:sz w:val="20"/>
      <w:szCs w:val="20"/>
    </w:rPr>
  </w:style>
  <w:style w:type="character" w:styleId="Refdenotaalpie">
    <w:name w:val="footnote reference"/>
    <w:basedOn w:val="Fuentedeprrafopredeter"/>
    <w:uiPriority w:val="99"/>
    <w:semiHidden/>
    <w:unhideWhenUsed/>
    <w:rsid w:val="009A19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BE8B-C478-4AB8-9C02-1F1225F0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975</Words>
  <Characters>5364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congreso chihuahua</cp:lastModifiedBy>
  <cp:revision>2</cp:revision>
  <dcterms:created xsi:type="dcterms:W3CDTF">2024-11-20T21:51:00Z</dcterms:created>
  <dcterms:modified xsi:type="dcterms:W3CDTF">2024-11-20T21:51:00Z</dcterms:modified>
</cp:coreProperties>
</file>