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12188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CB3ACA">
        <w:rPr>
          <w:rFonts w:ascii="Arial" w:hAnsi="Arial" w:cs="Arial"/>
          <w:b/>
          <w:bCs/>
          <w:sz w:val="32"/>
          <w:szCs w:val="32"/>
          <w:lang w:val="es-ES_tradnl"/>
        </w:rPr>
        <w:t>H. CONGRESO DEL ESTADO</w:t>
      </w:r>
    </w:p>
    <w:p w14:paraId="6CA04E32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CB3ACA">
        <w:rPr>
          <w:rFonts w:ascii="Arial" w:hAnsi="Arial" w:cs="Arial"/>
          <w:b/>
          <w:bCs/>
          <w:sz w:val="32"/>
          <w:szCs w:val="32"/>
          <w:lang w:val="it-IT"/>
        </w:rPr>
        <w:t>P R E S E N T E</w:t>
      </w:r>
      <w:r w:rsidRPr="00CB3ACA">
        <w:rPr>
          <w:rFonts w:ascii="Arial" w:hAnsi="Arial" w:cs="Arial"/>
          <w:b/>
          <w:bCs/>
          <w:sz w:val="32"/>
          <w:szCs w:val="32"/>
          <w:lang w:val="it-IT"/>
        </w:rPr>
        <w:tab/>
      </w:r>
    </w:p>
    <w:p w14:paraId="5CE4D4AA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51BF6B61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567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El suscrito, Diputado. Arturo Zubia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Fern</w:t>
      </w:r>
      <w:r w:rsidRPr="00CB3ACA">
        <w:rPr>
          <w:rFonts w:ascii="Arial" w:hAnsi="Arial" w:cs="Arial"/>
          <w:sz w:val="32"/>
          <w:szCs w:val="32"/>
        </w:rPr>
        <w:t>ández</w:t>
      </w:r>
      <w:proofErr w:type="spellEnd"/>
      <w:r w:rsidRPr="00CB3ACA">
        <w:rPr>
          <w:rFonts w:ascii="Arial" w:hAnsi="Arial" w:cs="Arial"/>
          <w:sz w:val="32"/>
          <w:szCs w:val="32"/>
        </w:rPr>
        <w:t xml:space="preserve">, en mi </w:t>
      </w:r>
      <w:proofErr w:type="spellStart"/>
      <w:r w:rsidRPr="00CB3ACA">
        <w:rPr>
          <w:rFonts w:ascii="Arial" w:hAnsi="Arial" w:cs="Arial"/>
          <w:sz w:val="32"/>
          <w:szCs w:val="32"/>
        </w:rPr>
        <w:t>cará</w:t>
      </w:r>
      <w:r w:rsidRPr="00CB3ACA">
        <w:rPr>
          <w:rFonts w:ascii="Arial" w:hAnsi="Arial" w:cs="Arial"/>
          <w:sz w:val="32"/>
          <w:szCs w:val="32"/>
          <w:lang w:val="es-ES_tradnl"/>
        </w:rPr>
        <w:t>cter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diputado 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Sexag</w:t>
      </w:r>
      <w:proofErr w:type="spellEnd"/>
      <w:r w:rsidRPr="00CB3ACA">
        <w:rPr>
          <w:rFonts w:ascii="Arial" w:hAnsi="Arial" w:cs="Arial"/>
          <w:sz w:val="32"/>
          <w:szCs w:val="32"/>
          <w:lang w:val="fr-FR"/>
        </w:rPr>
        <w:t>é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sima Octava Legislatura del Estado de Chihuahua y en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representaci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del Grupo Parlamentario del Partido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Nacional, con fundamento en lo dispuesto por los art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culos 169, 174,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fracci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I y 175 todos de la Ley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Org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>nica del Poder Legislativo del Estado de Chihuahua; as</w:t>
      </w:r>
      <w:r w:rsidRPr="00CB3ACA">
        <w:rPr>
          <w:rFonts w:ascii="Arial" w:hAnsi="Arial" w:cs="Arial"/>
          <w:sz w:val="32"/>
          <w:szCs w:val="32"/>
        </w:rPr>
        <w:t xml:space="preserve">í </w:t>
      </w:r>
      <w:r w:rsidRPr="00CB3ACA">
        <w:rPr>
          <w:rFonts w:ascii="Arial" w:hAnsi="Arial" w:cs="Arial"/>
          <w:sz w:val="32"/>
          <w:szCs w:val="32"/>
          <w:lang w:val="pt-PT"/>
        </w:rPr>
        <w:t>como art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it-IT"/>
        </w:rPr>
        <w:t>culo 2, fracci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IX, del Reglamento Interior y de Pr</w:t>
      </w:r>
      <w:r w:rsidRPr="00CB3ACA">
        <w:rPr>
          <w:rFonts w:ascii="Arial" w:hAnsi="Arial" w:cs="Arial"/>
          <w:sz w:val="32"/>
          <w:szCs w:val="32"/>
        </w:rPr>
        <w:t>á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cticas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Parlamentarias del Poder Legislativo; comparezco ante este Honorable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Soberan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a, a fin de presentar 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Proposició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  <w:lang w:val="it-IT"/>
        </w:rPr>
        <w:t>n con car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ácter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 xml:space="preserve"> de punto de acuerdo para exhortar a la Cámara de Senadores del Congreso de la Unión, a votar en sentido negativo el Acta 331 denominada </w:t>
      </w:r>
      <w:r w:rsidRPr="00CB3ACA">
        <w:rPr>
          <w:rStyle w:val="Ninguno"/>
          <w:rFonts w:ascii="Arial" w:hAnsi="Arial" w:cs="Arial"/>
          <w:b/>
          <w:bCs/>
          <w:sz w:val="32"/>
          <w:szCs w:val="32"/>
          <w:rtl/>
          <w:lang w:val="ar-SA"/>
        </w:rPr>
        <w:t>“</w:t>
      </w:r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Medidas para mejorar la  confiabilidad y predictibilidad de las entregas de agua del Río Bravo en beneficio de M</w:t>
      </w:r>
      <w:r w:rsidRPr="00CB3ACA">
        <w:rPr>
          <w:rStyle w:val="Ninguno"/>
          <w:rFonts w:ascii="Arial" w:hAnsi="Arial" w:cs="Arial"/>
          <w:b/>
          <w:bCs/>
          <w:sz w:val="32"/>
          <w:szCs w:val="32"/>
          <w:lang w:val="fr-FR"/>
        </w:rPr>
        <w:t>é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xico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 xml:space="preserve"> y los Estados Unidos”, emitida por la 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Comisió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  <w:lang w:val="pt-PT"/>
        </w:rPr>
        <w:t>n Internacional de L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ímites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 xml:space="preserve"> y Aguas entre M</w:t>
      </w:r>
      <w:r w:rsidRPr="00CB3ACA">
        <w:rPr>
          <w:rStyle w:val="Ninguno"/>
          <w:rFonts w:ascii="Arial" w:hAnsi="Arial" w:cs="Arial"/>
          <w:b/>
          <w:bCs/>
          <w:sz w:val="32"/>
          <w:szCs w:val="32"/>
          <w:lang w:val="fr-FR"/>
        </w:rPr>
        <w:t>é</w:t>
      </w:r>
      <w:proofErr w:type="spellStart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xico</w:t>
      </w:r>
      <w:proofErr w:type="spellEnd"/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 xml:space="preserve"> y los Estados Unidos;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lo anterior, conforme a la siguiente: </w:t>
      </w:r>
    </w:p>
    <w:p w14:paraId="3787381D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Arial" w:eastAsia="Arial" w:hAnsi="Arial" w:cs="Arial"/>
          <w:sz w:val="32"/>
          <w:szCs w:val="32"/>
        </w:rPr>
      </w:pPr>
    </w:p>
    <w:p w14:paraId="59807C23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CB3ACA">
        <w:rPr>
          <w:rFonts w:ascii="Arial" w:hAnsi="Arial" w:cs="Arial"/>
          <w:b/>
          <w:bCs/>
          <w:sz w:val="32"/>
          <w:szCs w:val="32"/>
        </w:rPr>
        <w:t>EXPOSICIÓ</w:t>
      </w:r>
      <w:r w:rsidRPr="00CB3ACA">
        <w:rPr>
          <w:rFonts w:ascii="Arial" w:hAnsi="Arial" w:cs="Arial"/>
          <w:b/>
          <w:bCs/>
          <w:sz w:val="32"/>
          <w:szCs w:val="32"/>
          <w:lang w:val="de-DE"/>
        </w:rPr>
        <w:t>N DE MOTIVOS</w:t>
      </w:r>
    </w:p>
    <w:p w14:paraId="31272F1F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jc w:val="both"/>
        <w:rPr>
          <w:rFonts w:ascii="Arial" w:eastAsia="Arial" w:hAnsi="Arial" w:cs="Arial"/>
          <w:sz w:val="32"/>
          <w:szCs w:val="32"/>
        </w:rPr>
      </w:pPr>
    </w:p>
    <w:p w14:paraId="47477B06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lastRenderedPageBreak/>
        <w:t xml:space="preserve">Posterior de la firma del tratado de paz en Guadalupe Hidalgo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  <w:lang w:val="pt-PT"/>
        </w:rPr>
        <w:t>Tratado de Guadalupe</w:t>
      </w:r>
      <w:r w:rsidRPr="00CB3ACA">
        <w:rPr>
          <w:rFonts w:ascii="Arial" w:hAnsi="Arial" w:cs="Arial"/>
          <w:sz w:val="32"/>
          <w:szCs w:val="32"/>
        </w:rPr>
        <w:t xml:space="preserve">” </w:t>
      </w:r>
      <w:r w:rsidRPr="00CB3ACA">
        <w:rPr>
          <w:rFonts w:ascii="Arial" w:hAnsi="Arial" w:cs="Arial"/>
          <w:sz w:val="32"/>
          <w:szCs w:val="32"/>
          <w:lang w:val="it-IT"/>
        </w:rPr>
        <w:t>que define al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 Bravo y Colorado como parte de la frontera y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fr-FR"/>
        </w:rPr>
        <w:t>mites entre Mé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y Estados Unidos, surge la necesidad de determinar los usos del agua de ambos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os,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adem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 del derecho de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navegaci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de estos que ya se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prev</w:t>
      </w:r>
      <w:proofErr w:type="spellEnd"/>
      <w:r w:rsidRPr="00CB3ACA">
        <w:rPr>
          <w:rFonts w:ascii="Arial" w:hAnsi="Arial" w:cs="Arial"/>
          <w:sz w:val="32"/>
          <w:szCs w:val="32"/>
          <w:lang w:val="fr-FR"/>
        </w:rPr>
        <w:t>é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, por lo que se suscribe el Tratado sobre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Distribuci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 Aguas Internacionales entre los Estados Unidos Mexicanos y los Estados Unidos de Am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r w:rsidRPr="00CB3ACA">
        <w:rPr>
          <w:rFonts w:ascii="Arial" w:hAnsi="Arial" w:cs="Arial"/>
          <w:sz w:val="32"/>
          <w:szCs w:val="32"/>
          <w:lang w:val="es-ES_tradnl"/>
        </w:rPr>
        <w:t>rica, firmado en 1944 (en lo sucesivo TIA 1944) de estos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os, y se dispone 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Comisi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pt-PT"/>
        </w:rPr>
        <w:t>n internacional de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mites de 1889, (ahora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Comisi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 Internacional de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mites y Aguas CILA)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aplicaci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regulaci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y ejercicio de los derechos y cumplimiento del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>TIA 1944”</w:t>
      </w:r>
      <w:r w:rsidRPr="00CB3ACA">
        <w:rPr>
          <w:rFonts w:ascii="Arial" w:hAnsi="Arial" w:cs="Arial"/>
          <w:sz w:val="32"/>
          <w:szCs w:val="32"/>
          <w:lang w:val="pt-PT"/>
        </w:rPr>
        <w:t>. Esta Comisi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se integra por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Secci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Mexicana y por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Secci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Estadounidense, cada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secci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tiene un comisionado, quienes son asesorados por la Secretar</w:t>
      </w:r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Relaciones Exteriores y del Departamento de Estado, respectivamente. </w:t>
      </w:r>
    </w:p>
    <w:p w14:paraId="1C4768F4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45578D04" w14:textId="77777777" w:rsid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hAnsi="Arial" w:cs="Arial"/>
          <w:sz w:val="32"/>
          <w:szCs w:val="32"/>
          <w:lang w:val="it-IT"/>
        </w:rPr>
      </w:pPr>
      <w:r w:rsidRPr="00CB3ACA">
        <w:rPr>
          <w:rFonts w:ascii="Arial" w:hAnsi="Arial" w:cs="Arial"/>
          <w:sz w:val="32"/>
          <w:szCs w:val="32"/>
          <w:lang w:val="pt-PT"/>
        </w:rPr>
        <w:t>Esta comisi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se ha encargado por m</w:t>
      </w:r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pt-PT"/>
        </w:rPr>
        <w:t>s de 130 a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ños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la vigilancia y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aplicaci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 los tratados y convenciones sobre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fr-FR"/>
        </w:rPr>
        <w:t>mites, as</w:t>
      </w:r>
      <w:r w:rsidRPr="00CB3ACA">
        <w:rPr>
          <w:rFonts w:ascii="Arial" w:hAnsi="Arial" w:cs="Arial"/>
          <w:sz w:val="32"/>
          <w:szCs w:val="32"/>
        </w:rPr>
        <w:t xml:space="preserve">í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como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regulaci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y ejercicio de los derechos y obligaciones previstas en los tratados entre Estados Unidos y nuestro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pa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it-IT"/>
        </w:rPr>
        <w:t xml:space="preserve">s. </w:t>
      </w:r>
    </w:p>
    <w:p w14:paraId="7A920EF6" w14:textId="4CB13553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it-IT"/>
        </w:rPr>
        <w:lastRenderedPageBreak/>
        <w:t>La jurisdicci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 la CILA es sobre la lim</w:t>
      </w:r>
      <w:r w:rsidR="00CB3ACA">
        <w:rPr>
          <w:rFonts w:ascii="Arial" w:hAnsi="Arial" w:cs="Arial"/>
          <w:sz w:val="32"/>
          <w:szCs w:val="32"/>
          <w:lang w:val="es-ES_tradnl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trofe de los dos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os y que comprende a lo largo de la frontera de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con Estados Unidos, particularmente en </w:t>
      </w:r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>reas en donde pueden existir proyectos concernientes a los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pt-PT"/>
        </w:rPr>
        <w:t>mites o aguas internacionales en funci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y como base el marco jur</w:t>
      </w:r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los tratados internacionales suscritos.</w:t>
      </w:r>
      <w:r w:rsidRPr="00CB3ACA">
        <w:rPr>
          <w:rFonts w:ascii="Arial" w:hAnsi="Arial" w:cs="Arial"/>
          <w:sz w:val="32"/>
          <w:szCs w:val="32"/>
        </w:rPr>
        <w:t> </w:t>
      </w:r>
    </w:p>
    <w:p w14:paraId="5054E7A8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6447EE46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En semanas recientes, la CILA se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reuni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</w:rPr>
        <w:t xml:space="preserve">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para sesionar y poner en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consideraci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las aguas del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pt-PT"/>
        </w:rPr>
        <w:t>o Bravo, asignadas a ambos pa</w:t>
      </w:r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ses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, de conformidad con el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>TIA 1944”.</w:t>
      </w:r>
    </w:p>
    <w:p w14:paraId="368CCFE4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53103D36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Como resultado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reuni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it-IT"/>
        </w:rPr>
        <w:t>n del d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a 07 de noviembre, se obtuvo el Acta 331, la cual contiene diecisiete resoluciones. Estas resoluciones impactan de manera significativa a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, al Estado de Chihuahua y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dem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 estados fronterizos, pues atentan contra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Soberan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nuestro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pa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 el Derecho Internacional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autodeterminaci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pt-PT"/>
        </w:rPr>
        <w:t>n (Constituci</w:t>
      </w:r>
      <w:proofErr w:type="spellStart"/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y ordenamientos internos o dom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sticos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) los derechos legales de agua de la nuestra entidad, replicando el conflicto del 2020. </w:t>
      </w:r>
    </w:p>
    <w:p w14:paraId="31092339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46991D0B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El acta 331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prev</w:t>
      </w:r>
      <w:proofErr w:type="spellEnd"/>
      <w:r w:rsidRPr="00CB3ACA">
        <w:rPr>
          <w:rFonts w:ascii="Arial" w:hAnsi="Arial" w:cs="Arial"/>
          <w:sz w:val="32"/>
          <w:szCs w:val="32"/>
          <w:lang w:val="fr-FR"/>
        </w:rPr>
        <w:t>é</w:t>
      </w:r>
      <w:r w:rsidRPr="00CB3ACA">
        <w:rPr>
          <w:rFonts w:ascii="Arial" w:hAnsi="Arial" w:cs="Arial"/>
          <w:sz w:val="32"/>
          <w:szCs w:val="32"/>
          <w:lang w:val="es-ES_tradnl"/>
        </w:rPr>
        <w:t>, un incumplimiento por d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ficit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llam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it-IT"/>
        </w:rPr>
        <w:t xml:space="preserve">ndolo un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  <w:lang w:val="es-ES_tradnl"/>
        </w:rPr>
        <w:t>potencial faltante</w:t>
      </w:r>
      <w:r w:rsidRPr="00CB3ACA">
        <w:rPr>
          <w:rFonts w:ascii="Arial" w:hAnsi="Arial" w:cs="Arial"/>
          <w:sz w:val="32"/>
          <w:szCs w:val="32"/>
        </w:rPr>
        <w:t>”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, siendo que el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 xml:space="preserve">TIA 1944” </w:t>
      </w:r>
      <w:r w:rsidRPr="00CB3ACA">
        <w:rPr>
          <w:rFonts w:ascii="Arial" w:hAnsi="Arial" w:cs="Arial"/>
          <w:sz w:val="32"/>
          <w:szCs w:val="32"/>
          <w:lang w:val="es-ES_tradnl"/>
        </w:rPr>
        <w:t>dispone que el d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ficit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se presenta </w:t>
      </w:r>
      <w:r w:rsidRPr="00CB3ACA">
        <w:rPr>
          <w:rStyle w:val="Ninguno"/>
          <w:rFonts w:ascii="Arial" w:hAnsi="Arial" w:cs="Arial"/>
          <w:sz w:val="32"/>
          <w:szCs w:val="32"/>
          <w:u w:val="single"/>
        </w:rPr>
        <w:t>hasta concluir el quinquenio</w:t>
      </w:r>
      <w:r w:rsidRPr="00CB3ACA">
        <w:rPr>
          <w:rFonts w:ascii="Arial" w:hAnsi="Arial" w:cs="Arial"/>
          <w:sz w:val="32"/>
          <w:szCs w:val="32"/>
          <w:lang w:val="pt-PT"/>
        </w:rPr>
        <w:t xml:space="preserve"> </w:t>
      </w:r>
      <w:r w:rsidRPr="00CB3ACA">
        <w:rPr>
          <w:rFonts w:ascii="Arial" w:hAnsi="Arial" w:cs="Arial"/>
          <w:sz w:val="32"/>
          <w:szCs w:val="32"/>
          <w:lang w:val="pt-PT"/>
        </w:rPr>
        <w:lastRenderedPageBreak/>
        <w:t>computado seg</w:t>
      </w:r>
      <w:r w:rsidRPr="00CB3ACA">
        <w:rPr>
          <w:rFonts w:ascii="Arial" w:hAnsi="Arial" w:cs="Arial"/>
          <w:sz w:val="32"/>
          <w:szCs w:val="32"/>
        </w:rPr>
        <w:t>ú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n el orden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cronol</w:t>
      </w:r>
      <w:r w:rsidRPr="00CB3ACA">
        <w:rPr>
          <w:rFonts w:ascii="Arial" w:hAnsi="Arial" w:cs="Arial"/>
          <w:sz w:val="32"/>
          <w:szCs w:val="32"/>
        </w:rPr>
        <w:t>ó</w:t>
      </w:r>
      <w:r w:rsidRPr="00CB3ACA">
        <w:rPr>
          <w:rFonts w:ascii="Arial" w:hAnsi="Arial" w:cs="Arial"/>
          <w:sz w:val="32"/>
          <w:szCs w:val="32"/>
          <w:lang w:val="es-ES_tradnl"/>
        </w:rPr>
        <w:t>gico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sus ciclos, siendo el ciclo en curso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numero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treinta y seis el cual se encuentra en el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añ</w:t>
      </w:r>
      <w:proofErr w:type="spellEnd"/>
      <w:r w:rsidRPr="00CB3ACA">
        <w:rPr>
          <w:rFonts w:ascii="Arial" w:hAnsi="Arial" w:cs="Arial"/>
          <w:sz w:val="32"/>
          <w:szCs w:val="32"/>
        </w:rPr>
        <w:t xml:space="preserve">o </w:t>
      </w:r>
      <w:proofErr w:type="spellStart"/>
      <w:r w:rsidRPr="00CB3ACA">
        <w:rPr>
          <w:rFonts w:ascii="Arial" w:hAnsi="Arial" w:cs="Arial"/>
          <w:sz w:val="32"/>
          <w:szCs w:val="32"/>
        </w:rPr>
        <w:t>nú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mero cuatro, debiendo cerrar el ciclo el 24 de octubre 2025,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adem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tambi</w:t>
      </w:r>
      <w:proofErr w:type="spellEnd"/>
      <w:r w:rsidRPr="00CB3ACA">
        <w:rPr>
          <w:rFonts w:ascii="Arial" w:hAnsi="Arial" w:cs="Arial"/>
          <w:sz w:val="32"/>
          <w:szCs w:val="32"/>
          <w:lang w:val="fr-FR"/>
        </w:rPr>
        <w:t>é</w:t>
      </w:r>
      <w:r w:rsidRPr="00CB3ACA">
        <w:rPr>
          <w:rFonts w:ascii="Arial" w:hAnsi="Arial" w:cs="Arial"/>
          <w:sz w:val="32"/>
          <w:szCs w:val="32"/>
          <w:lang w:val="es-ES_tradnl"/>
        </w:rPr>
        <w:t>n esta Acta 331 dispone que el almacenamiento de presas internas afluentes del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 Bravo, de los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os, Conchos, San Diego, San Rodrigo, Escondido y salado y arroyo de las vacas, sea superior al Nivel de Almacenamiento M</w:t>
      </w:r>
      <w:r w:rsidRPr="00CB3ACA">
        <w:rPr>
          <w:rFonts w:ascii="Arial" w:hAnsi="Arial" w:cs="Arial"/>
          <w:sz w:val="32"/>
          <w:szCs w:val="32"/>
        </w:rPr>
        <w:t>á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ximo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Ordinario, (NAMO),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liberar</w:t>
      </w:r>
      <w:r w:rsidRPr="00CB3ACA">
        <w:rPr>
          <w:rFonts w:ascii="Arial" w:hAnsi="Arial" w:cs="Arial"/>
          <w:sz w:val="32"/>
          <w:szCs w:val="32"/>
          <w:lang w:val="pt-PT"/>
        </w:rPr>
        <w:t xml:space="preserve">á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dichos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vol</w:t>
      </w:r>
      <w:proofErr w:type="spellEnd"/>
      <w:r w:rsidRPr="00CB3ACA">
        <w:rPr>
          <w:rFonts w:ascii="Arial" w:hAnsi="Arial" w:cs="Arial"/>
          <w:sz w:val="32"/>
          <w:szCs w:val="32"/>
        </w:rPr>
        <w:t>ú</w:t>
      </w:r>
      <w:r w:rsidRPr="00CB3ACA">
        <w:rPr>
          <w:rFonts w:ascii="Arial" w:hAnsi="Arial" w:cs="Arial"/>
          <w:sz w:val="32"/>
          <w:szCs w:val="32"/>
          <w:lang w:val="es-ES_tradnl"/>
        </w:rPr>
        <w:t>menes excedentes hacia aguas abajo, para que alcancen la corriente principal del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 Bravo, esto en los casos de que exista un faltante del ciclo anterior, o para evitar un potencial faltante de las entregas de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que se encuentren por debajo del promedio quinquenal, previendo dos medios de entrega, que pueden practicarse de manera unitaria o conjunta para el cumplimento de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>TIA 1944”:</w:t>
      </w:r>
    </w:p>
    <w:p w14:paraId="7AFC18F1" w14:textId="77777777" w:rsidR="005A051C" w:rsidRPr="00CB3ACA" w:rsidRDefault="00AE6756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>Con agua de caudales de corrientes principales del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 Bravo, procedente de los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os, Conchos, San Diego, San Rodrigo, Escondido y salado y arroyo de las vacas</w:t>
      </w:r>
    </w:p>
    <w:p w14:paraId="3455CF9C" w14:textId="77777777" w:rsidR="005A051C" w:rsidRPr="00CB3ACA" w:rsidRDefault="00AE6756">
      <w:pPr>
        <w:pStyle w:val="Predeterminado"/>
        <w:numPr>
          <w:ilvl w:val="0"/>
          <w:numId w:val="2"/>
        </w:numPr>
        <w:spacing w:before="0"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Con traspaso de aguas mexicanas almacenadas en las presas principales internacionales, como lo determine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Comisi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n, si al hacer el traspaso los </w:t>
      </w:r>
      <w:r w:rsidRPr="00CB3ACA">
        <w:rPr>
          <w:rFonts w:ascii="Arial" w:hAnsi="Arial" w:cs="Arial"/>
          <w:sz w:val="32"/>
          <w:szCs w:val="32"/>
          <w:lang w:val="es-ES_tradnl"/>
        </w:rPr>
        <w:lastRenderedPageBreak/>
        <w:t>Estados Unidos disponen de capacidad para conservarlas.</w:t>
      </w:r>
    </w:p>
    <w:p w14:paraId="5B0A6977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397CD33F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Con lo anterior, vulnerando el Derecho interno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regulaci</w:t>
      </w:r>
      <w:r w:rsidRPr="00CB3ACA">
        <w:rPr>
          <w:rFonts w:ascii="Arial" w:hAnsi="Arial" w:cs="Arial"/>
          <w:sz w:val="32"/>
          <w:szCs w:val="32"/>
        </w:rPr>
        <w:t>ón</w:t>
      </w:r>
      <w:proofErr w:type="spellEnd"/>
      <w:r w:rsidRPr="00CB3ACA">
        <w:rPr>
          <w:rFonts w:ascii="Arial" w:hAnsi="Arial" w:cs="Arial"/>
          <w:sz w:val="32"/>
          <w:szCs w:val="32"/>
        </w:rPr>
        <w:t xml:space="preserve"> dom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stica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y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autodeterminaci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excediendo las facultades y atribuciones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Comisi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sobre las aguas nacionales, diversas sus funciones que se </w:t>
      </w:r>
      <w:proofErr w:type="spellStart"/>
      <w:r w:rsidRPr="00CB3ACA">
        <w:rPr>
          <w:rFonts w:ascii="Arial" w:hAnsi="Arial" w:cs="Arial"/>
          <w:sz w:val="32"/>
          <w:szCs w:val="32"/>
        </w:rPr>
        <w:t>ci</w:t>
      </w:r>
      <w:r w:rsidRPr="00CB3ACA">
        <w:rPr>
          <w:rFonts w:ascii="Arial" w:hAnsi="Arial" w:cs="Arial"/>
          <w:sz w:val="32"/>
          <w:szCs w:val="32"/>
          <w:lang w:val="es-ES_tradnl"/>
        </w:rPr>
        <w:t>ñe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lim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trofe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los 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os principales del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>TIA 1944”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, las aguas nacionales afluentes a estos cauces internacionales por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disposici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del tratado binacional del 1944, son los escurrimientos que convergen en estos l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pt-PT"/>
        </w:rPr>
        <w:t>mites internacionales para ambos pa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s, siendo las aguas de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jurisdicci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nacional no internacional de acuerdo con el marco jur</w:t>
      </w:r>
      <w:r w:rsidRPr="00CB3ACA">
        <w:rPr>
          <w:rFonts w:ascii="Arial" w:hAnsi="Arial" w:cs="Arial"/>
          <w:sz w:val="32"/>
          <w:szCs w:val="32"/>
        </w:rPr>
        <w:t>í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del Derecho internacional.</w:t>
      </w:r>
    </w:p>
    <w:p w14:paraId="04C0E9A3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77CFCC35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El Senado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Rep</w:t>
      </w:r>
      <w:proofErr w:type="spellEnd"/>
      <w:r w:rsidRPr="00CB3ACA">
        <w:rPr>
          <w:rFonts w:ascii="Arial" w:hAnsi="Arial" w:cs="Arial"/>
          <w:sz w:val="32"/>
          <w:szCs w:val="32"/>
        </w:rPr>
        <w:t>ú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blica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del Poder Legislativo Federal del H. Congreso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Uni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es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el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es la autoridad con facultades exclusivas  para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ratificaci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ratificaci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y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emisi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de acuerdo aprobatorio y reprobatorio  en materia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pol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tica exterior, aprobar los tratados internacionales y convenciones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diplom</w:t>
      </w:r>
      <w:proofErr w:type="spellEnd"/>
      <w:r w:rsidRPr="00CB3ACA">
        <w:rPr>
          <w:rFonts w:ascii="Arial" w:hAnsi="Arial" w:cs="Arial"/>
          <w:sz w:val="32"/>
          <w:szCs w:val="32"/>
        </w:rPr>
        <w:t>á</w:t>
      </w:r>
      <w:r w:rsidRPr="00CB3ACA">
        <w:rPr>
          <w:rFonts w:ascii="Arial" w:hAnsi="Arial" w:cs="Arial"/>
          <w:sz w:val="32"/>
          <w:szCs w:val="32"/>
          <w:lang w:val="es-ES_tradnl"/>
        </w:rPr>
        <w:t>ticas que el Ejecutivo Federal suscriba, as</w:t>
      </w:r>
      <w:r w:rsidRPr="00CB3ACA">
        <w:rPr>
          <w:rFonts w:ascii="Arial" w:hAnsi="Arial" w:cs="Arial"/>
          <w:sz w:val="32"/>
          <w:szCs w:val="32"/>
        </w:rPr>
        <w:t xml:space="preserve">í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como su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decisi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 de terminar, denunciar, suspender, modificar, enmendar, retirar reservas y formular declaraciones interpretativas sobre los mismos.</w:t>
      </w:r>
    </w:p>
    <w:p w14:paraId="79D9FDB8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3AE76E69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  <w:u w:val="single"/>
        </w:rPr>
      </w:pPr>
      <w:r w:rsidRPr="00CB3ACA">
        <w:rPr>
          <w:rStyle w:val="Ninguno"/>
          <w:rFonts w:ascii="Arial" w:hAnsi="Arial" w:cs="Arial"/>
          <w:sz w:val="32"/>
          <w:szCs w:val="32"/>
        </w:rPr>
        <w:t xml:space="preserve"> </w:t>
      </w:r>
      <w:r w:rsidRPr="00CB3ACA">
        <w:rPr>
          <w:rFonts w:ascii="Arial" w:hAnsi="Arial" w:cs="Arial"/>
          <w:sz w:val="32"/>
          <w:szCs w:val="32"/>
          <w:u w:val="single"/>
          <w:lang w:val="es-ES_tradnl"/>
        </w:rPr>
        <w:t xml:space="preserve">El solo paso del tiempo posterior a las Actas que suscriba la CILA como lo </w:t>
      </w:r>
      <w:proofErr w:type="spellStart"/>
      <w:r w:rsidRPr="00CB3ACA">
        <w:rPr>
          <w:rFonts w:ascii="Arial" w:hAnsi="Arial" w:cs="Arial"/>
          <w:sz w:val="32"/>
          <w:szCs w:val="32"/>
          <w:u w:val="single"/>
          <w:lang w:val="es-ES_tradnl"/>
        </w:rPr>
        <w:t>prev</w:t>
      </w:r>
      <w:proofErr w:type="spellEnd"/>
      <w:r w:rsidRPr="00CB3ACA">
        <w:rPr>
          <w:rFonts w:ascii="Arial" w:hAnsi="Arial" w:cs="Arial"/>
          <w:sz w:val="32"/>
          <w:szCs w:val="32"/>
          <w:u w:val="single"/>
          <w:lang w:val="fr-FR"/>
        </w:rPr>
        <w:t xml:space="preserve">é </w:t>
      </w:r>
      <w:r w:rsidRPr="00CB3ACA">
        <w:rPr>
          <w:rFonts w:ascii="Arial" w:hAnsi="Arial" w:cs="Arial"/>
          <w:sz w:val="32"/>
          <w:szCs w:val="32"/>
          <w:u w:val="single"/>
        </w:rPr>
        <w:t xml:space="preserve">el </w:t>
      </w:r>
      <w:proofErr w:type="spellStart"/>
      <w:r w:rsidRPr="00CB3ACA">
        <w:rPr>
          <w:rFonts w:ascii="Arial" w:hAnsi="Arial" w:cs="Arial"/>
          <w:sz w:val="32"/>
          <w:szCs w:val="32"/>
          <w:u w:val="single"/>
        </w:rPr>
        <w:t>artí</w:t>
      </w:r>
      <w:proofErr w:type="spellEnd"/>
      <w:r w:rsidRPr="00CB3ACA">
        <w:rPr>
          <w:rFonts w:ascii="Arial" w:hAnsi="Arial" w:cs="Arial"/>
          <w:sz w:val="32"/>
          <w:szCs w:val="32"/>
          <w:u w:val="single"/>
          <w:lang w:val="es-ES_tradnl"/>
        </w:rPr>
        <w:t xml:space="preserve">culo 25 del </w:t>
      </w:r>
      <w:r w:rsidRPr="00CB3ACA">
        <w:rPr>
          <w:rFonts w:ascii="Arial" w:hAnsi="Arial" w:cs="Arial"/>
          <w:sz w:val="32"/>
          <w:szCs w:val="32"/>
          <w:u w:val="single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  <w:u w:val="single"/>
        </w:rPr>
        <w:t>TIA 1944”</w:t>
      </w:r>
      <w:r w:rsidRPr="00CB3ACA">
        <w:rPr>
          <w:rFonts w:ascii="Arial" w:hAnsi="Arial" w:cs="Arial"/>
          <w:sz w:val="32"/>
          <w:szCs w:val="32"/>
          <w:u w:val="single"/>
          <w:lang w:val="es-ES_tradnl"/>
        </w:rPr>
        <w:t>, sin necesidad del acuerdo aprobatorio y reprobatorios</w:t>
      </w:r>
      <w:r w:rsidRPr="00CB3ACA">
        <w:rPr>
          <w:rStyle w:val="Ninguno"/>
          <w:rFonts w:ascii="Arial" w:hAnsi="Arial" w:cs="Arial"/>
          <w:sz w:val="32"/>
          <w:szCs w:val="32"/>
        </w:rPr>
        <w:t xml:space="preserve"> </w:t>
      </w:r>
      <w:r w:rsidRPr="00CB3ACA">
        <w:rPr>
          <w:rFonts w:ascii="Arial" w:hAnsi="Arial" w:cs="Arial"/>
          <w:sz w:val="32"/>
          <w:szCs w:val="32"/>
          <w:u w:val="single"/>
          <w:lang w:val="pt-PT"/>
        </w:rPr>
        <w:t>escrito de cada pa</w:t>
      </w:r>
      <w:r w:rsidRPr="00CB3ACA">
        <w:rPr>
          <w:rFonts w:ascii="Arial" w:hAnsi="Arial" w:cs="Arial"/>
          <w:sz w:val="32"/>
          <w:szCs w:val="32"/>
          <w:u w:val="single"/>
        </w:rPr>
        <w:t>í</w:t>
      </w:r>
      <w:r w:rsidRPr="00CB3ACA">
        <w:rPr>
          <w:rFonts w:ascii="Arial" w:hAnsi="Arial" w:cs="Arial"/>
          <w:sz w:val="32"/>
          <w:szCs w:val="32"/>
          <w:u w:val="single"/>
          <w:lang w:val="es-ES_tradnl"/>
        </w:rPr>
        <w:t>s causa ejecutoria de los resuelto en esta Actas.</w:t>
      </w:r>
    </w:p>
    <w:p w14:paraId="5B8381A4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  <w:u w:val="single"/>
        </w:rPr>
      </w:pPr>
    </w:p>
    <w:p w14:paraId="6E6D2A17" w14:textId="7FDCE501" w:rsidR="003575EC" w:rsidRDefault="00AE6756" w:rsidP="003575E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pt-PT"/>
        </w:rPr>
        <w:t xml:space="preserve">Al aprobar o reprobar por escrito esta acta, se dará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paso a contravenir al </w:t>
      </w:r>
      <w:r w:rsidRPr="00CB3ACA">
        <w:rPr>
          <w:rFonts w:ascii="Arial" w:hAnsi="Arial" w:cs="Arial"/>
          <w:sz w:val="32"/>
          <w:szCs w:val="32"/>
          <w:rtl/>
          <w:lang w:val="ar-SA"/>
        </w:rPr>
        <w:t>“</w:t>
      </w:r>
      <w:r w:rsidRPr="00CB3ACA">
        <w:rPr>
          <w:rFonts w:ascii="Arial" w:hAnsi="Arial" w:cs="Arial"/>
          <w:sz w:val="32"/>
          <w:szCs w:val="32"/>
        </w:rPr>
        <w:t>TIA 1944”</w:t>
      </w:r>
      <w:r w:rsidRPr="00CB3ACA">
        <w:rPr>
          <w:rFonts w:ascii="Arial" w:hAnsi="Arial" w:cs="Arial"/>
          <w:sz w:val="32"/>
          <w:szCs w:val="32"/>
          <w:lang w:val="es-ES_tradnl"/>
        </w:rPr>
        <w:t>, al Derecho Internacional de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a la no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intervenci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y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autodeterminaci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de sus ordenamientos y sus recursos naturales, al exceso de facultades de la CILA y enfrentar a un saqueo de aguas nacionales en nuestro estado similar al del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añ</w:t>
      </w:r>
      <w:proofErr w:type="spellEnd"/>
      <w:r w:rsidRPr="00CB3ACA">
        <w:rPr>
          <w:rFonts w:ascii="Arial" w:hAnsi="Arial" w:cs="Arial"/>
          <w:sz w:val="32"/>
          <w:szCs w:val="32"/>
        </w:rPr>
        <w:t>o 2020.</w:t>
      </w:r>
    </w:p>
    <w:p w14:paraId="584A5611" w14:textId="77777777" w:rsidR="003575EC" w:rsidRPr="003575EC" w:rsidRDefault="003575EC" w:rsidP="003575E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Style w:val="Ninguno"/>
          <w:rFonts w:ascii="Arial" w:hAnsi="Arial" w:cs="Arial"/>
          <w:sz w:val="32"/>
          <w:szCs w:val="32"/>
          <w:lang w:val="es-MX"/>
        </w:rPr>
      </w:pPr>
    </w:p>
    <w:p w14:paraId="39856CD3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t xml:space="preserve">Resulta indispensable para el Estado de Chihuahua que mediante sus poderes constituidos manifieste al Senado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Replica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del H. Congreso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Uni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>n, autoridad competente en la materia, el desacuerdo de las resoluciones que suscribe el CILA, en virtud de las 17 resoluciones que incoan perjuicios a M</w:t>
      </w:r>
      <w:r w:rsidRPr="00CB3ACA">
        <w:rPr>
          <w:rFonts w:ascii="Arial" w:hAnsi="Arial" w:cs="Arial"/>
          <w:sz w:val="32"/>
          <w:szCs w:val="32"/>
          <w:lang w:val="fr-FR"/>
        </w:rPr>
        <w:t>é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xico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y principalmente al Estadio de Chihuahua y sus pobladores.</w:t>
      </w:r>
    </w:p>
    <w:p w14:paraId="4EAC9B8A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4ED7E283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Fonts w:ascii="Arial" w:hAnsi="Arial" w:cs="Arial"/>
          <w:sz w:val="32"/>
          <w:szCs w:val="32"/>
          <w:lang w:val="es-ES_tradnl"/>
        </w:rPr>
        <w:lastRenderedPageBreak/>
        <w:t xml:space="preserve">En virtud de todo lo previamente mencionado, es que pongo 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consideraci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de esta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soberan</w:t>
      </w:r>
      <w:proofErr w:type="spellEnd"/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a, la siguiente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proposici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it-IT"/>
        </w:rPr>
        <w:t>n con car</w:t>
      </w:r>
      <w:r w:rsidRPr="00CB3ACA">
        <w:rPr>
          <w:rFonts w:ascii="Arial" w:hAnsi="Arial" w:cs="Arial"/>
          <w:sz w:val="32"/>
          <w:szCs w:val="32"/>
        </w:rPr>
        <w:t>á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cter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de punto de acuerdo: </w:t>
      </w:r>
    </w:p>
    <w:p w14:paraId="4B198C36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2E24DE8B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CB3ACA">
        <w:rPr>
          <w:rFonts w:ascii="Arial" w:hAnsi="Arial" w:cs="Arial"/>
          <w:b/>
          <w:bCs/>
          <w:sz w:val="32"/>
          <w:szCs w:val="32"/>
          <w:lang w:val="de-DE"/>
        </w:rPr>
        <w:t>ACUERDO</w:t>
      </w:r>
    </w:p>
    <w:p w14:paraId="577A35B0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40CF151E" w14:textId="29459AE8" w:rsidR="005A051C" w:rsidRPr="00CB3ACA" w:rsidRDefault="00AE6756" w:rsidP="00CB3AC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ÚNICO</w:t>
      </w:r>
      <w:r w:rsidRPr="00CB3ACA">
        <w:rPr>
          <w:rFonts w:ascii="Arial" w:hAnsi="Arial" w:cs="Arial"/>
          <w:sz w:val="32"/>
          <w:szCs w:val="32"/>
        </w:rPr>
        <w:t xml:space="preserve">. – 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Se exhorta al Senado de la Republica del H. Congreso de la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Uni</w:t>
      </w:r>
      <w:r w:rsidRPr="00CB3ACA">
        <w:rPr>
          <w:rFonts w:ascii="Arial" w:hAnsi="Arial" w:cs="Arial"/>
          <w:sz w:val="32"/>
          <w:szCs w:val="32"/>
        </w:rPr>
        <w:t>ó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n que de manera urgente analice,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consider</w:t>
      </w:r>
      <w:proofErr w:type="spellEnd"/>
      <w:r w:rsidR="00CB3ACA">
        <w:rPr>
          <w:rFonts w:ascii="Arial" w:hAnsi="Arial" w:cs="Arial"/>
          <w:sz w:val="32"/>
          <w:szCs w:val="32"/>
          <w:lang w:val="fr-FR"/>
        </w:rPr>
        <w:t>e</w:t>
      </w:r>
      <w:r w:rsidRPr="00CB3ACA">
        <w:rPr>
          <w:rFonts w:ascii="Arial" w:hAnsi="Arial" w:cs="Arial"/>
          <w:sz w:val="32"/>
          <w:szCs w:val="32"/>
          <w:lang w:val="nl-NL"/>
        </w:rPr>
        <w:t>, evalu</w:t>
      </w:r>
      <w:r w:rsidR="00CB3ACA">
        <w:rPr>
          <w:rFonts w:ascii="Arial" w:hAnsi="Arial" w:cs="Arial"/>
          <w:sz w:val="32"/>
          <w:szCs w:val="32"/>
          <w:lang w:val="fr-FR"/>
        </w:rPr>
        <w:t>e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, acuerde y accione el acuerdo reprobatorio que decline las resoluciones suscritas por la CILA en el Acta 331 de fecha del paso mes de noviembre del presente </w:t>
      </w:r>
      <w:proofErr w:type="spellStart"/>
      <w:r w:rsidRPr="00CB3ACA">
        <w:rPr>
          <w:rFonts w:ascii="Arial" w:hAnsi="Arial" w:cs="Arial"/>
          <w:sz w:val="32"/>
          <w:szCs w:val="32"/>
          <w:lang w:val="es-ES_tradnl"/>
        </w:rPr>
        <w:t>añ</w:t>
      </w:r>
      <w:proofErr w:type="spellEnd"/>
      <w:r w:rsidRPr="00CB3ACA">
        <w:rPr>
          <w:rFonts w:ascii="Arial" w:hAnsi="Arial" w:cs="Arial"/>
          <w:sz w:val="32"/>
          <w:szCs w:val="32"/>
        </w:rPr>
        <w:t xml:space="preserve">o.  </w:t>
      </w:r>
    </w:p>
    <w:p w14:paraId="25AA332B" w14:textId="77777777" w:rsidR="00CB3ACA" w:rsidRDefault="00CB3AC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Style w:val="Ninguno"/>
          <w:rFonts w:ascii="Arial" w:hAnsi="Arial" w:cs="Arial"/>
          <w:b/>
          <w:bCs/>
          <w:sz w:val="32"/>
          <w:szCs w:val="32"/>
          <w:lang w:val="de-DE"/>
        </w:rPr>
      </w:pPr>
    </w:p>
    <w:p w14:paraId="6369EE59" w14:textId="3B77BA76" w:rsidR="005A051C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hAnsi="Arial" w:cs="Arial"/>
          <w:sz w:val="32"/>
          <w:szCs w:val="32"/>
          <w:lang w:val="es-ES_tradnl"/>
        </w:rPr>
      </w:pPr>
      <w:r w:rsidRPr="00CB3ACA">
        <w:rPr>
          <w:rStyle w:val="Ninguno"/>
          <w:rFonts w:ascii="Arial" w:hAnsi="Arial" w:cs="Arial"/>
          <w:b/>
          <w:bCs/>
          <w:sz w:val="32"/>
          <w:szCs w:val="32"/>
          <w:lang w:val="de-DE"/>
        </w:rPr>
        <w:t>ECON</w:t>
      </w:r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ÓMICO</w:t>
      </w:r>
      <w:r w:rsidRPr="00CB3ACA">
        <w:rPr>
          <w:rFonts w:ascii="Arial" w:hAnsi="Arial" w:cs="Arial"/>
          <w:sz w:val="32"/>
          <w:szCs w:val="32"/>
          <w:lang w:val="es-ES_tradnl"/>
        </w:rPr>
        <w:t>. - Aprobado que sea t</w:t>
      </w:r>
      <w:r w:rsidRPr="00CB3ACA">
        <w:rPr>
          <w:rFonts w:ascii="Arial" w:hAnsi="Arial" w:cs="Arial"/>
          <w:sz w:val="32"/>
          <w:szCs w:val="32"/>
        </w:rPr>
        <w:t>ú</w:t>
      </w:r>
      <w:proofErr w:type="spellStart"/>
      <w:r w:rsidR="00CB3ACA">
        <w:rPr>
          <w:rFonts w:ascii="Arial" w:hAnsi="Arial" w:cs="Arial"/>
          <w:sz w:val="32"/>
          <w:szCs w:val="32"/>
          <w:lang w:val="es-ES_tradnl"/>
        </w:rPr>
        <w:t>r</w:t>
      </w:r>
      <w:r w:rsidRPr="00CB3ACA">
        <w:rPr>
          <w:rFonts w:ascii="Arial" w:hAnsi="Arial" w:cs="Arial"/>
          <w:sz w:val="32"/>
          <w:szCs w:val="32"/>
          <w:lang w:val="es-ES_tradnl"/>
        </w:rPr>
        <w:t>nese</w:t>
      </w:r>
      <w:proofErr w:type="spellEnd"/>
      <w:r w:rsidRPr="00CB3ACA">
        <w:rPr>
          <w:rFonts w:ascii="Arial" w:hAnsi="Arial" w:cs="Arial"/>
          <w:sz w:val="32"/>
          <w:szCs w:val="32"/>
          <w:lang w:val="es-ES_tradnl"/>
        </w:rPr>
        <w:t xml:space="preserve"> a la secretar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 xml:space="preserve">a para que elabore la minuta de acuerdo correspondiente. </w:t>
      </w:r>
    </w:p>
    <w:p w14:paraId="576FB107" w14:textId="77777777" w:rsidR="00CB3ACA" w:rsidRPr="00CB3ACA" w:rsidRDefault="00CB3AC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360" w:lineRule="auto"/>
        <w:ind w:firstLine="850"/>
        <w:jc w:val="both"/>
        <w:rPr>
          <w:rFonts w:ascii="Arial" w:eastAsia="Arial" w:hAnsi="Arial" w:cs="Arial"/>
          <w:sz w:val="32"/>
          <w:szCs w:val="32"/>
        </w:rPr>
      </w:pPr>
    </w:p>
    <w:p w14:paraId="71E9ACFD" w14:textId="77777777" w:rsidR="005A051C" w:rsidRPr="00CB3ACA" w:rsidRDefault="00AE675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Arial" w:eastAsia="Arial" w:hAnsi="Arial" w:cs="Arial"/>
          <w:sz w:val="32"/>
          <w:szCs w:val="32"/>
        </w:rPr>
      </w:pPr>
      <w:r w:rsidRPr="00CB3ACA">
        <w:rPr>
          <w:rStyle w:val="Ninguno"/>
          <w:rFonts w:ascii="Arial" w:hAnsi="Arial" w:cs="Arial"/>
          <w:b/>
          <w:bCs/>
          <w:sz w:val="32"/>
          <w:szCs w:val="32"/>
        </w:rPr>
        <w:t>D A D O</w:t>
      </w:r>
      <w:r w:rsidRPr="00CB3ACA">
        <w:rPr>
          <w:rFonts w:ascii="Arial" w:hAnsi="Arial" w:cs="Arial"/>
          <w:sz w:val="32"/>
          <w:szCs w:val="32"/>
          <w:lang w:val="es-ES_tradnl"/>
        </w:rPr>
        <w:t>.- En el recinto oficial del H. Congreso del Estado de Chihuahua, a los 05 d</w:t>
      </w:r>
      <w:r w:rsidRPr="00CB3ACA">
        <w:rPr>
          <w:rFonts w:ascii="Arial" w:hAnsi="Arial" w:cs="Arial"/>
          <w:sz w:val="32"/>
          <w:szCs w:val="32"/>
        </w:rPr>
        <w:t>í</w:t>
      </w:r>
      <w:r w:rsidRPr="00CB3ACA">
        <w:rPr>
          <w:rFonts w:ascii="Arial" w:hAnsi="Arial" w:cs="Arial"/>
          <w:sz w:val="32"/>
          <w:szCs w:val="32"/>
          <w:lang w:val="es-ES_tradnl"/>
        </w:rPr>
        <w:t>as del mes de diciembre del dos mil veinticuatro.</w:t>
      </w:r>
    </w:p>
    <w:p w14:paraId="2C9E4BE4" w14:textId="77777777" w:rsidR="005A051C" w:rsidRPr="00CB3ACA" w:rsidRDefault="005A051C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Arial" w:eastAsia="Arial" w:hAnsi="Arial" w:cs="Arial"/>
          <w:sz w:val="32"/>
          <w:szCs w:val="32"/>
        </w:rPr>
      </w:pPr>
    </w:p>
    <w:p w14:paraId="4FD2258C" w14:textId="7D1437F4" w:rsidR="005A051C" w:rsidRPr="00CB3ACA" w:rsidRDefault="00AE6756" w:rsidP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B3ACA">
        <w:rPr>
          <w:rFonts w:ascii="Arial" w:hAnsi="Arial" w:cs="Arial"/>
          <w:b/>
          <w:bCs/>
          <w:sz w:val="32"/>
          <w:szCs w:val="32"/>
          <w:lang w:val="de-DE"/>
        </w:rPr>
        <w:t>ATENTAMENTE</w:t>
      </w:r>
    </w:p>
    <w:p w14:paraId="0BB374EB" w14:textId="77777777" w:rsidR="00AA0D2A" w:rsidRPr="00CB3ACA" w:rsidRDefault="00AA0D2A" w:rsidP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BF73CC8" w14:textId="77777777" w:rsidR="005A051C" w:rsidRPr="00CB3ACA" w:rsidRDefault="005A051C" w:rsidP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6E3A516" w14:textId="16CF25AB" w:rsidR="005A051C" w:rsidRPr="00CB3ACA" w:rsidRDefault="00AE6756" w:rsidP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3ACA">
        <w:rPr>
          <w:rFonts w:ascii="Arial" w:hAnsi="Arial" w:cs="Arial"/>
          <w:b/>
          <w:bCs/>
          <w:sz w:val="32"/>
          <w:szCs w:val="32"/>
          <w:lang w:val="pt-PT"/>
        </w:rPr>
        <w:t>DIP. ARTURO ZUB</w:t>
      </w:r>
      <w:r w:rsidRPr="00CB3ACA">
        <w:rPr>
          <w:rFonts w:ascii="Arial" w:hAnsi="Arial" w:cs="Arial"/>
          <w:b/>
          <w:bCs/>
          <w:sz w:val="32"/>
          <w:szCs w:val="32"/>
        </w:rPr>
        <w:t>Í</w:t>
      </w:r>
      <w:r w:rsidRPr="00CB3ACA">
        <w:rPr>
          <w:rFonts w:ascii="Arial" w:hAnsi="Arial" w:cs="Arial"/>
          <w:b/>
          <w:bCs/>
          <w:sz w:val="32"/>
          <w:szCs w:val="32"/>
          <w:lang w:val="de-DE"/>
        </w:rPr>
        <w:t>A FERN</w:t>
      </w:r>
      <w:r w:rsidRPr="00CB3ACA">
        <w:rPr>
          <w:rFonts w:ascii="Arial" w:hAnsi="Arial" w:cs="Arial"/>
          <w:b/>
          <w:bCs/>
          <w:sz w:val="32"/>
          <w:szCs w:val="32"/>
        </w:rPr>
        <w:t>ÁNDEZ</w:t>
      </w:r>
    </w:p>
    <w:p w14:paraId="23E4C1D4" w14:textId="19EC980B" w:rsidR="00AA0D2A" w:rsidRPr="00CB3ACA" w:rsidRDefault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491900D" w14:textId="77777777" w:rsidR="00AA0D2A" w:rsidRPr="00CB3ACA" w:rsidRDefault="00AA0D2A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sz w:val="28"/>
          <w:szCs w:val="28"/>
        </w:rPr>
      </w:pPr>
    </w:p>
    <w:sectPr w:rsidR="00AA0D2A" w:rsidRPr="00CB3ACA" w:rsidSect="00CB3ACA">
      <w:headerReference w:type="default" r:id="rId7"/>
      <w:footerReference w:type="default" r:id="rId8"/>
      <w:pgSz w:w="12240" w:h="15840"/>
      <w:pgMar w:top="1417" w:right="1701" w:bottom="1417" w:left="1701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CA05" w14:textId="77777777" w:rsidR="00F4117C" w:rsidRDefault="00F4117C">
      <w:r>
        <w:separator/>
      </w:r>
    </w:p>
  </w:endnote>
  <w:endnote w:type="continuationSeparator" w:id="0">
    <w:p w14:paraId="04C9D9D9" w14:textId="77777777" w:rsidR="00F4117C" w:rsidRDefault="00F4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nlo Regular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1C54" w14:textId="77777777" w:rsidR="005A051C" w:rsidRDefault="005A05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F76C0" w14:textId="77777777" w:rsidR="00F4117C" w:rsidRDefault="00F4117C">
      <w:r>
        <w:separator/>
      </w:r>
    </w:p>
  </w:footnote>
  <w:footnote w:type="continuationSeparator" w:id="0">
    <w:p w14:paraId="083C3F49" w14:textId="77777777" w:rsidR="00F4117C" w:rsidRDefault="00F4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A0B01" w14:textId="77777777" w:rsidR="005A051C" w:rsidRDefault="005A05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DCF"/>
    <w:multiLevelType w:val="hybridMultilevel"/>
    <w:tmpl w:val="4A3C7780"/>
    <w:numStyleLink w:val="Vieta"/>
  </w:abstractNum>
  <w:abstractNum w:abstractNumId="1" w15:restartNumberingAfterBreak="0">
    <w:nsid w:val="5BC90515"/>
    <w:multiLevelType w:val="hybridMultilevel"/>
    <w:tmpl w:val="4A3C7780"/>
    <w:styleLink w:val="Vieta"/>
    <w:lvl w:ilvl="0" w:tplc="C526F826">
      <w:start w:val="1"/>
      <w:numFmt w:val="bullet"/>
      <w:lvlText w:val="•"/>
      <w:lvlJc w:val="left"/>
      <w:pPr>
        <w:tabs>
          <w:tab w:val="left" w:pos="560"/>
          <w:tab w:val="num" w:pos="180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5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027AA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198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13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A5E1044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216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31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C20983A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234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9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E7C2C7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252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7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F2AD43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270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85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39450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2883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03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DBAE57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3063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21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4A0EBA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3243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392" w:hanging="10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034571877">
    <w:abstractNumId w:val="1"/>
  </w:num>
  <w:num w:numId="2" w16cid:durableId="8795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C"/>
    <w:rsid w:val="003575EC"/>
    <w:rsid w:val="005A051C"/>
    <w:rsid w:val="007C13B2"/>
    <w:rsid w:val="007C35C2"/>
    <w:rsid w:val="008B43FC"/>
    <w:rsid w:val="00957F99"/>
    <w:rsid w:val="00AA0D2A"/>
    <w:rsid w:val="00AE6756"/>
    <w:rsid w:val="00CB3ACA"/>
    <w:rsid w:val="00F4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D0AD"/>
  <w15:docId w15:val="{AAA45263-D7CD-4EA8-8599-D3DA4AC5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Vieta">
    <w:name w:val="Viñeta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AA0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cp:lastPrinted>2024-12-05T16:45:00Z</cp:lastPrinted>
  <dcterms:created xsi:type="dcterms:W3CDTF">2024-12-05T17:06:00Z</dcterms:created>
  <dcterms:modified xsi:type="dcterms:W3CDTF">2024-12-05T17:06:00Z</dcterms:modified>
</cp:coreProperties>
</file>