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CD73" w14:textId="77777777" w:rsidR="00CE707E" w:rsidRDefault="00DD7BD0">
      <w:pPr>
        <w:spacing w:before="240" w:after="240" w:line="240" w:lineRule="auto"/>
        <w:jc w:val="both"/>
        <w:rPr>
          <w:rFonts w:ascii="Arial" w:hAnsi="Arial" w:cs="Arial"/>
          <w:b/>
          <w:bCs/>
          <w:sz w:val="24"/>
          <w:szCs w:val="24"/>
        </w:rPr>
      </w:pPr>
      <w:r>
        <w:rPr>
          <w:rFonts w:ascii="Arial" w:hAnsi="Arial" w:cs="Arial"/>
          <w:b/>
          <w:bCs/>
          <w:sz w:val="24"/>
          <w:szCs w:val="24"/>
        </w:rPr>
        <w:t xml:space="preserve">H. CONGRESO DEL ESTADO  </w:t>
      </w:r>
    </w:p>
    <w:p w14:paraId="6E648FF6" w14:textId="77777777" w:rsidR="00CE707E" w:rsidRDefault="00DD7BD0">
      <w:pPr>
        <w:spacing w:before="240" w:after="240" w:line="240" w:lineRule="auto"/>
        <w:jc w:val="both"/>
        <w:rPr>
          <w:rFonts w:ascii="Arial" w:hAnsi="Arial" w:cs="Arial"/>
          <w:b/>
          <w:bCs/>
          <w:sz w:val="24"/>
          <w:szCs w:val="24"/>
        </w:rPr>
      </w:pPr>
      <w:r>
        <w:rPr>
          <w:rFonts w:ascii="Arial" w:hAnsi="Arial" w:cs="Arial"/>
          <w:b/>
          <w:bCs/>
          <w:sz w:val="24"/>
          <w:szCs w:val="24"/>
        </w:rPr>
        <w:t>PRESENTE.</w:t>
      </w:r>
    </w:p>
    <w:p w14:paraId="22F3D2BF" w14:textId="77777777" w:rsidR="00CE707E" w:rsidRDefault="00DD7BD0">
      <w:pPr>
        <w:spacing w:before="240" w:after="240" w:line="336" w:lineRule="auto"/>
        <w:jc w:val="both"/>
        <w:rPr>
          <w:rFonts w:ascii="Arial" w:eastAsia="FangSong" w:hAnsi="Arial" w:cs="Arial"/>
          <w:sz w:val="24"/>
          <w:szCs w:val="24"/>
        </w:rPr>
      </w:pPr>
      <w:r>
        <w:rPr>
          <w:rFonts w:ascii="Arial" w:hAnsi="Arial" w:cs="Arial"/>
          <w:sz w:val="24"/>
          <w:szCs w:val="24"/>
        </w:rPr>
        <w:t xml:space="preserve">Los suscritos, en nuestro carácter de Diputadas y Diputados de la Sexagésima Séptima Legislatura del H. Congreso del Estado, integrantes del Grupo Parlamentario del Partido Acción Nacional, con fundamento en lo dispuesto en los Artículos 64 fracción II de la Constitución Política de los Estados Unidos Mexicanos, y 167 fracción I de la Ley Orgánica del Poder Legislativo del Estado de Chihuahua; acudimos ante esta H. Representación Popular a presentar </w:t>
      </w:r>
      <w:bookmarkStart w:id="0" w:name="_Hlk163032079"/>
      <w:r>
        <w:rPr>
          <w:rFonts w:ascii="Arial" w:hAnsi="Arial" w:cs="Arial"/>
          <w:b/>
          <w:bCs/>
          <w:sz w:val="24"/>
          <w:szCs w:val="24"/>
        </w:rPr>
        <w:t xml:space="preserve">Iniciativa de Decreto ante el H. Congreso de la Unión, a fin de reformar la Ley Federal de Presupuesto y Responsabilidad Hacendaria; la Ley General para la Detección Oportuna del Cáncer en la Infancia y la Adolescencia, y la Ley General de los Derechos de Niñas, Niños y Adolescentes; a fin de garantizar la existencia de los recursos administrativos y financieros necesarios para que niñas, niños y adolescentes que lo requieran, tengan acceso a los servicios de atención médica especializada, tratamientos y medicamentos, en materia de detección oportuna, atención y tratamiento del cáncer en la infancia y la adolescencia. </w:t>
      </w:r>
      <w:bookmarkEnd w:id="0"/>
      <w:r>
        <w:rPr>
          <w:rFonts w:ascii="Arial" w:hAnsi="Arial" w:cs="Arial"/>
          <w:sz w:val="24"/>
          <w:szCs w:val="24"/>
        </w:rPr>
        <w:t>Lo anterior al tenor de la siguiente:</w:t>
      </w:r>
    </w:p>
    <w:p w14:paraId="7EE89EF5" w14:textId="77777777" w:rsidR="00CE707E" w:rsidRDefault="00DD7BD0">
      <w:pPr>
        <w:spacing w:before="240" w:after="240" w:line="336" w:lineRule="auto"/>
        <w:jc w:val="center"/>
        <w:rPr>
          <w:rFonts w:ascii="Arial" w:hAnsi="Arial" w:cs="Arial"/>
          <w:b/>
          <w:bCs/>
          <w:sz w:val="24"/>
          <w:szCs w:val="24"/>
        </w:rPr>
      </w:pPr>
      <w:r>
        <w:rPr>
          <w:rFonts w:ascii="Arial" w:hAnsi="Arial" w:cs="Arial"/>
          <w:b/>
          <w:bCs/>
          <w:sz w:val="24"/>
          <w:szCs w:val="24"/>
        </w:rPr>
        <w:t>EXPOSICIÓN DE MOTIVOS.</w:t>
      </w:r>
    </w:p>
    <w:p w14:paraId="3D271856" w14:textId="77777777" w:rsidR="00CE707E" w:rsidRDefault="00DD7BD0">
      <w:pPr>
        <w:spacing w:before="240" w:after="240" w:line="336" w:lineRule="auto"/>
        <w:jc w:val="both"/>
        <w:rPr>
          <w:rFonts w:ascii="Arial" w:eastAsia="FangSong" w:hAnsi="Arial" w:cs="Arial"/>
          <w:bCs/>
          <w:sz w:val="24"/>
          <w:szCs w:val="24"/>
        </w:rPr>
      </w:pPr>
      <w:r>
        <w:rPr>
          <w:rFonts w:ascii="Arial" w:eastAsia="FangSong" w:hAnsi="Arial" w:cs="Arial"/>
          <w:sz w:val="24"/>
          <w:szCs w:val="24"/>
        </w:rPr>
        <w:t xml:space="preserve">El cáncer actualmente es la principal causa de mortalidad infantil, incrementándose en las comunidades indígenas, ya que </w:t>
      </w:r>
      <w:r>
        <w:rPr>
          <w:rFonts w:ascii="Arial" w:eastAsia="FangSong" w:hAnsi="Arial" w:cs="Arial"/>
          <w:bCs/>
          <w:sz w:val="24"/>
          <w:szCs w:val="24"/>
        </w:rPr>
        <w:t>la mortalidad por este tipo de padecimientos en el caso de la población indígena es un 60% superior a la del resto de la población, según datos del Consejo Nacional de Población.</w:t>
      </w:r>
    </w:p>
    <w:p w14:paraId="1FDD747C"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Cada año, más de 250 mil niños en el mundo reciben este diagnóstico, y se estima que unos 90 mil niños mueren debido a esta enfermedad. Estas cifras son alarmantes, sobre todo si se tiene en cuenta que el 70% de los casos de cáncer infantiles tienen cura.</w:t>
      </w:r>
    </w:p>
    <w:p w14:paraId="0DCA7957" w14:textId="1F8203EE"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En México las niñas, niños y adolescentes con diagnóstico de cáncer, continúan resintiendo la falta de medicinas que les permita hacer frente a su padecimiento, al respecto conviene recordar que, en el año de 2019, la actual administración federal, decidió centralizar las compras de medicamentos, bajo el argumento de evitar sobreprecios y corrupción.</w:t>
      </w:r>
    </w:p>
    <w:p w14:paraId="2B9DAC3D" w14:textId="59DD75C2"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Lamentablemente, esta decisión sigue provocando que el cáncer infantil sea la segunda causa de muerte en niñas y niños en nuestro país. De acuerdo con cifras oficiales, cada año se diagnostican 7 mil nuevos casos en el país y fallecen, en promedio 2 mil 300 menores. </w:t>
      </w:r>
    </w:p>
    <w:p w14:paraId="5AE56B63"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nuestro país, de acuerdo con datos publicados por el INEGI, se tienen que entre los principales tipos de cáncer que afectaron a la población infantil de 0 a 14 años son: leucemia; tumor maligno de las meninges, del encéfalo y de otras partes del sistema nervioso central; tumor maligno del hígado y de las vías biliares intrahepáticas, así como de linfoma de Hodgkin. Entre los jóvenes de 15 a 29 años la principal causa de defunción por tipo de cáncer fue la leucemia, con una tasa de 0.36 por cada 10 mil hombres y de 0.25 por cada 10 mil mujeres. </w:t>
      </w:r>
    </w:p>
    <w:p w14:paraId="2E559CE4"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En cuanto a las cifras estatales,</w:t>
      </w:r>
      <w:r>
        <w:rPr>
          <w:rFonts w:ascii="Arial" w:eastAsia="FangSong" w:hAnsi="Arial" w:cs="Arial"/>
          <w:sz w:val="24"/>
          <w:szCs w:val="24"/>
          <w:lang w:val="es-US"/>
        </w:rPr>
        <w:t xml:space="preserve"> en el período del 2015 al 2021 se han registrado un total de 379 casos nuevos y 88 defunciones; siendo los tipos de cáncer con mayor incidencia en los menores de 18 años son las leucemias con 41.4 por ciento, los </w:t>
      </w:r>
      <w:r>
        <w:rPr>
          <w:rFonts w:ascii="Arial" w:eastAsia="FangSong" w:hAnsi="Arial" w:cs="Arial"/>
          <w:sz w:val="24"/>
          <w:szCs w:val="24"/>
          <w:lang w:val="es-US"/>
        </w:rPr>
        <w:lastRenderedPageBreak/>
        <w:t>tumores del sistema nervioso central con 15.8 por ciento</w:t>
      </w:r>
      <w:r>
        <w:rPr>
          <w:rFonts w:ascii="Arial" w:eastAsia="FangSong" w:hAnsi="Arial" w:cs="Arial"/>
          <w:sz w:val="24"/>
          <w:szCs w:val="24"/>
        </w:rPr>
        <w:t>,</w:t>
      </w:r>
      <w:r>
        <w:rPr>
          <w:rFonts w:ascii="Arial" w:eastAsia="FangSong" w:hAnsi="Arial" w:cs="Arial"/>
          <w:sz w:val="24"/>
          <w:szCs w:val="24"/>
          <w:lang w:val="es-US"/>
        </w:rPr>
        <w:t xml:space="preserve"> y los linfomas con 7.1 por ciento.</w:t>
      </w:r>
    </w:p>
    <w:p w14:paraId="2570AE3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lang w:val="es-US"/>
        </w:rPr>
        <w:t>Los casos se concentran en su mayor parte en los municipios de Chihuahua con 26.3 por ciento, en Juárez el 25.8 por ciento, Cuauhtémoc con 6.3 por ciento, en Parral con 3.9 por ciento y Delicias con 4.4 por ciento.</w:t>
      </w:r>
    </w:p>
    <w:p w14:paraId="6ED7860F"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El cáncer infantil es una enfermedad que desafortunadamente no se puede prevenir, y puede surgir en cualquier parte del cuerpo, inicia con un cambio genético en una sola célula, que luego prolifera hasta dar lugar a una masa que invade otras partes del organismo, y en ausencia de tratamiento, va causando daños hasta provocar la muerte.</w:t>
      </w:r>
    </w:p>
    <w:p w14:paraId="5D3EDBBE"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 diferencia de lo que ocurre con el cáncer en los adultos, se desconocen las causas de la inmensa mayoría de los casos de cáncer infantil. Se han realizado diversos estudios para tratar de determinarlas, pero a esas edades hay muy pocos cánceres causados por factores ambientales, o ligados al modo de vida. </w:t>
      </w:r>
    </w:p>
    <w:p w14:paraId="4F80F040"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El gobierno de México ha catalogado al cáncer infantil como un problema de salud pública por la alta mortalidad y el impacto que genera en los familiares de las pacientes; a pesar de ello, la presente administración del Gobierno federal decidió </w:t>
      </w:r>
      <w:proofErr w:type="gramStart"/>
      <w:r>
        <w:rPr>
          <w:rFonts w:ascii="Arial" w:eastAsia="FangSong" w:hAnsi="Arial" w:cs="Arial"/>
          <w:sz w:val="24"/>
          <w:szCs w:val="24"/>
        </w:rPr>
        <w:t>aplicar  una</w:t>
      </w:r>
      <w:proofErr w:type="gramEnd"/>
      <w:r>
        <w:rPr>
          <w:rFonts w:ascii="Arial" w:eastAsia="FangSong" w:hAnsi="Arial" w:cs="Arial"/>
          <w:sz w:val="24"/>
          <w:szCs w:val="24"/>
        </w:rPr>
        <w:t xml:space="preserve"> ola de recortes a diversos presupuestos destinados a atender enfermedades como el cáncer infantil. A la fecha, padres de familia de las niñas y niños afectados, continúan exigiendo la entrega de quimioterapias y medicamentos que siguen sin llegar a quienes enfrentan este padecimiento; por esa razón, en nuestra entidad el Gobierno del Estado, tuvo que hacer frente a las necesidades en materia de cáncer infantil, desde su detección, tratamiento oportuno y medicamentos. </w:t>
      </w:r>
    </w:p>
    <w:p w14:paraId="208D9421"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En estos dos años, se logró dar atención gratuita a todos los niños con cáncer que se recibieron en los hospitales públicos en el Estado, reforzando la atención oportuna a pacientes oncológicos a través de nuevos aceleradores lineales y unidades de mastografía digital que ya están salvando vidas. </w:t>
      </w:r>
    </w:p>
    <w:p w14:paraId="72787766" w14:textId="43127B5C" w:rsidR="00CE707E" w:rsidRDefault="00DD7BD0">
      <w:pPr>
        <w:spacing w:before="240" w:after="240" w:line="336" w:lineRule="auto"/>
        <w:jc w:val="both"/>
        <w:rPr>
          <w:rFonts w:ascii="Arial" w:eastAsia="FangSong" w:hAnsi="Arial" w:cs="Arial"/>
          <w:sz w:val="24"/>
          <w:szCs w:val="24"/>
        </w:rPr>
      </w:pPr>
      <w:r>
        <w:rPr>
          <w:rFonts w:ascii="Arial" w:eastAsia="FangSong" w:hAnsi="Arial" w:cs="Arial"/>
          <w:noProof/>
          <w:sz w:val="24"/>
          <w:szCs w:val="24"/>
        </w:rPr>
        <w:drawing>
          <wp:anchor distT="0" distB="0" distL="114300" distR="114300" simplePos="0" relativeHeight="251659264" behindDoc="1" locked="0" layoutInCell="1" allowOverlap="1" wp14:anchorId="26628810" wp14:editId="63788F0F">
            <wp:simplePos x="0" y="0"/>
            <wp:positionH relativeFrom="column">
              <wp:posOffset>12890</wp:posOffset>
            </wp:positionH>
            <wp:positionV relativeFrom="paragraph">
              <wp:posOffset>988522</wp:posOffset>
            </wp:positionV>
            <wp:extent cx="5612130" cy="2794000"/>
            <wp:effectExtent l="0" t="0" r="7620" b="6350"/>
            <wp:wrapTight wrapText="bothSides">
              <wp:wrapPolygon edited="0">
                <wp:start x="0" y="0"/>
                <wp:lineTo x="0" y="21502"/>
                <wp:lineTo x="21556" y="21502"/>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12130" cy="2794000"/>
                    </a:xfrm>
                    <a:prstGeom prst="rect">
                      <a:avLst/>
                    </a:prstGeom>
                  </pic:spPr>
                </pic:pic>
              </a:graphicData>
            </a:graphic>
          </wp:anchor>
        </w:drawing>
      </w:r>
      <w:r>
        <w:rPr>
          <w:rFonts w:ascii="Arial" w:eastAsia="FangSong" w:hAnsi="Arial" w:cs="Arial"/>
          <w:sz w:val="24"/>
          <w:szCs w:val="24"/>
        </w:rPr>
        <w:t xml:space="preserve">Solamente en el año 2023, a través del Centro Estatal de Cancerología, se llevaron a cabo 434 procedimientos de oncología, cirugía oncológica, así como reconstructiva. Además, se obtuvieron 4,422 egresos hospitalarios: </w:t>
      </w:r>
    </w:p>
    <w:p w14:paraId="37133E08" w14:textId="77777777" w:rsidR="00A27C6D" w:rsidRDefault="00A27C6D">
      <w:pPr>
        <w:spacing w:before="240" w:after="240" w:line="336" w:lineRule="auto"/>
        <w:jc w:val="both"/>
        <w:rPr>
          <w:rFonts w:ascii="Arial" w:eastAsia="FangSong" w:hAnsi="Arial" w:cs="Arial"/>
          <w:sz w:val="24"/>
          <w:szCs w:val="24"/>
        </w:rPr>
      </w:pPr>
    </w:p>
    <w:p w14:paraId="128973DA" w14:textId="1FFB8B70"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2022, se logró una inversión de 140 millones 348 mil pesos, a fin de adquirir un acelerador lineal en el Centro Estatal de Cancerología, con el objetivo de fortalecer la capacidad de tratamiento no invasivo para pacientes oncológicos. Esta adquisición marcó un avance sustancial en la infraestructura y tecnológica médica </w:t>
      </w:r>
      <w:r>
        <w:rPr>
          <w:rFonts w:ascii="Arial" w:eastAsia="FangSong" w:hAnsi="Arial" w:cs="Arial"/>
          <w:sz w:val="24"/>
          <w:szCs w:val="24"/>
        </w:rPr>
        <w:lastRenderedPageBreak/>
        <w:t xml:space="preserve">del Centro señalado, permitiendo ofrecer terapias más eficaces y avanzadas a los pacientes oncológicos. Actualmente por medio del CECAN se brinda atención a 90 pacientes diarios. </w:t>
      </w:r>
    </w:p>
    <w:p w14:paraId="3E2E25F9"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el año 2023 haciendo uso de dicho acelerador lineal se lograron 8 mil sesiones para más de 500 personas beneficiadas, habiendo concluido 447 de ellas el tratamiento de radioterapia. </w:t>
      </w:r>
    </w:p>
    <w:p w14:paraId="0B7388A4"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Además de lo anterior, con el propósito de impulsar la detección temprana, diagnóstico oportuno y tratamientos de calidad para el cáncer en niñas, niños y adolescentes (NNA), se han realizado 96 mil 930 evaluaciones de signos y síntomas sospechosos de cáncer en menores de 18 años en las unidades médicas de la Secretaría de Salud. Estas evaluaciones, que se efectúan al menos una vez cada 6 meses, se repiten dos veces al año para la detección temprana de signos y síntomas sospechosos.</w:t>
      </w:r>
    </w:p>
    <w:p w14:paraId="6A4DC47B"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En colaboración con la Fundación CIMA, durante los meses de junio y julio de 2023, se visitaron 39 guarderías en la ciudad de Chihuahua, donde se practicaron pruebas de identificación de factores de riesgo y exámenes físicos en 3 mil 253 niños y se realiza un seguimiento telefónico con los padres o tutores. </w:t>
      </w:r>
    </w:p>
    <w:p w14:paraId="447798C5"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Además, durante el 2023, se llevaron a cabo un total de 34 </w:t>
      </w:r>
      <w:proofErr w:type="spellStart"/>
      <w:r>
        <w:rPr>
          <w:rFonts w:ascii="Arial" w:eastAsia="FangSong" w:hAnsi="Arial" w:cs="Arial"/>
          <w:sz w:val="24"/>
          <w:szCs w:val="24"/>
        </w:rPr>
        <w:t>mo</w:t>
      </w:r>
      <w:proofErr w:type="spellEnd"/>
      <w:r>
        <w:rPr>
          <w:rFonts w:ascii="Arial" w:eastAsia="FangSong" w:hAnsi="Arial" w:cs="Arial"/>
          <w:sz w:val="24"/>
          <w:szCs w:val="24"/>
        </w:rPr>
        <w:t xml:space="preserve"> 226 pruebas de detección de cáncer infantil, de las cuales 324 casos fueron referidos por sospecha, y se confirmaron 22 diagnósticos de cáncer.</w:t>
      </w:r>
      <w:r>
        <w:rPr>
          <w:rStyle w:val="Refdenotaalpie"/>
          <w:rFonts w:ascii="Arial" w:eastAsia="FangSong" w:hAnsi="Arial" w:cs="Arial"/>
          <w:sz w:val="24"/>
          <w:szCs w:val="24"/>
        </w:rPr>
        <w:footnoteReference w:id="1"/>
      </w:r>
    </w:p>
    <w:p w14:paraId="3B2CA199"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Nuestra Constitución Política de los Estados Unidos Mexicanos establece en su artículo cuarto que: </w:t>
      </w:r>
    </w:p>
    <w:p w14:paraId="3A4030DE"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 </w:t>
      </w:r>
    </w:p>
    <w:p w14:paraId="4B9F76A9"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Además de lo anterior, la Ley General de Salud dispone en su artículo 23 que: </w:t>
      </w:r>
    </w:p>
    <w:p w14:paraId="3F980C35"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"Para los efectos de esta Ley, se entiende por servicios de salud todas aquellas acciones realizadas en beneficio del individuo y de la sociedad en general, dirigidas a proteger, promover y restaurar la salud de la persona y de la colectividad". </w:t>
      </w:r>
    </w:p>
    <w:p w14:paraId="47192CCA"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De la misma forma, la Declaración Universal de Derechos Humanos regula en su artículo 25 párrafo primero que: </w:t>
      </w:r>
    </w:p>
    <w:p w14:paraId="2BD80B90"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p>
    <w:p w14:paraId="1A406669"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Conviene destacar además que la Ley General para la Detección Oportuna del Cáncer en la Infancia y la Adolescencia, fue publicada en el Diario Oficial de la Federación el 7 de enero de 2021, cuya finalidad de acuerdo al artículo segundo de la referida ley es: </w:t>
      </w:r>
    </w:p>
    <w:p w14:paraId="33A58E7B"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lastRenderedPageBreak/>
        <w:t xml:space="preserve">"Artículo 2. La Secretaría de Salud en el ámbito de sus competencias y a través del Consejo Nacional para la Prevención y el Tratamiento del Cáncer en la Infancia y la Adolescencia y del Centro Nacional para la Salud de la Infancia y la Adolescencia, serán las </w:t>
      </w:r>
      <w:bookmarkStart w:id="1" w:name="_Hlk158889576"/>
      <w:r>
        <w:rPr>
          <w:rFonts w:ascii="Arial" w:eastAsia="FangSong" w:hAnsi="Arial" w:cs="Arial"/>
          <w:i/>
          <w:iCs/>
          <w:sz w:val="24"/>
          <w:szCs w:val="24"/>
        </w:rPr>
        <w:t>autoridades encargadas de la instrumentación de la</w:t>
      </w:r>
      <w:bookmarkEnd w:id="1"/>
      <w:r>
        <w:rPr>
          <w:rFonts w:ascii="Arial" w:eastAsia="FangSong" w:hAnsi="Arial" w:cs="Arial"/>
          <w:i/>
          <w:iCs/>
          <w:sz w:val="24"/>
          <w:szCs w:val="24"/>
        </w:rPr>
        <w:t xml:space="preserve"> presente Ley, para lo cual impulsarán la participación de los sectores social y privado, así como de la sociedad en general, con el fin de fortalecer los servicios de salud en materia de detección oportuna del cáncer en la infancia y adolescencia." </w:t>
      </w:r>
    </w:p>
    <w:p w14:paraId="7157D155"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Además, su artículo 3° establece las estrategias a seguir por parte de las dependencias del sistema nacional de salud con el objetivo disminuir la mortalidad en niñas, niños y adolescentes: </w:t>
      </w:r>
    </w:p>
    <w:p w14:paraId="5106A31D"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''Artículo 3. Para lograr el objetivo de disminuir la mortalidad en niñas, niños y adolescentes con cáncer, las dependencias de la Administración Pública del Sistema Nacional de Salud, deberán considerar las siguientes estrategias como prioritarias: </w:t>
      </w:r>
    </w:p>
    <w:p w14:paraId="06AC657B"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l. Diagnóstico temprano;</w:t>
      </w:r>
    </w:p>
    <w:p w14:paraId="1EBDE046"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II. Acceso efectivo; </w:t>
      </w:r>
    </w:p>
    <w:p w14:paraId="7551A6EE"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III. Tratamiento oportuno, integral y de calidad; </w:t>
      </w:r>
    </w:p>
    <w:p w14:paraId="587DFFEE"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IV. Capacitación continua al personal de salud; </w:t>
      </w:r>
    </w:p>
    <w:p w14:paraId="74D036E2"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 xml:space="preserve">V. Disminuir el abandono al tratamiento; </w:t>
      </w:r>
    </w:p>
    <w:p w14:paraId="72D66BBE" w14:textId="77777777" w:rsidR="00CE707E" w:rsidRDefault="00DD7BD0">
      <w:pPr>
        <w:spacing w:before="240" w:after="240" w:line="336" w:lineRule="auto"/>
        <w:jc w:val="both"/>
        <w:rPr>
          <w:rFonts w:ascii="Arial" w:eastAsia="FangSong" w:hAnsi="Arial" w:cs="Arial"/>
          <w:i/>
          <w:iCs/>
          <w:sz w:val="24"/>
          <w:szCs w:val="24"/>
        </w:rPr>
      </w:pPr>
      <w:r>
        <w:rPr>
          <w:rFonts w:ascii="Arial" w:eastAsia="FangSong" w:hAnsi="Arial" w:cs="Arial"/>
          <w:i/>
          <w:iCs/>
          <w:sz w:val="24"/>
          <w:szCs w:val="24"/>
        </w:rPr>
        <w:t>VI. Contar con un registro fidedigno y completo de los casos, y</w:t>
      </w:r>
    </w:p>
    <w:p w14:paraId="26F04ABE" w14:textId="77777777" w:rsidR="00CE707E" w:rsidRDefault="00DD7BD0">
      <w:pPr>
        <w:spacing w:before="240" w:after="240" w:line="336" w:lineRule="auto"/>
        <w:jc w:val="both"/>
        <w:rPr>
          <w:rFonts w:ascii="Arial" w:eastAsia="FangSong" w:hAnsi="Arial" w:cs="Arial"/>
          <w:i/>
          <w:iCs/>
          <w:sz w:val="24"/>
          <w:szCs w:val="24"/>
        </w:rPr>
      </w:pPr>
      <w:proofErr w:type="spellStart"/>
      <w:r>
        <w:rPr>
          <w:rFonts w:ascii="Arial" w:eastAsia="FangSong" w:hAnsi="Arial" w:cs="Arial"/>
          <w:i/>
          <w:iCs/>
          <w:sz w:val="24"/>
          <w:szCs w:val="24"/>
        </w:rPr>
        <w:lastRenderedPageBreak/>
        <w:t>VIl</w:t>
      </w:r>
      <w:proofErr w:type="spellEnd"/>
      <w:r>
        <w:rPr>
          <w:rFonts w:ascii="Arial" w:eastAsia="FangSong" w:hAnsi="Arial" w:cs="Arial"/>
          <w:i/>
          <w:iCs/>
          <w:sz w:val="24"/>
          <w:szCs w:val="24"/>
        </w:rPr>
        <w:t xml:space="preserve">. Implementar campañas de comunicación masiva para crear conciencia social sobre el cáncer en la infancia y la adolescencia." </w:t>
      </w:r>
    </w:p>
    <w:p w14:paraId="6B701218"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No obstante, a más de tres años la publicación de la referida ley en el Diario Oficial, y de su entrada en vigor, no se ha dado cumplimiento de las disposiciones transitorias lo cual impide que la ley en mención pueda cumplir con sus objetivos, dejando en la indefensión a los miles de niños con este padecimiento de cáncer infantil en todo el país. </w:t>
      </w:r>
    </w:p>
    <w:p w14:paraId="45730FF7"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Al respecto conviene mencionar las disposiciones transitorias que no se están cumpliendo: </w:t>
      </w:r>
    </w:p>
    <w:p w14:paraId="6A384A46"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No se ha emitido el reglamento ni las guías de atención para el correcto funcionamiento de la ley, la obligación era de seis meses para crearlos. </w:t>
      </w:r>
    </w:p>
    <w:p w14:paraId="0C864D94"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La operación de la Red de Apoyo contra el Cáncer en la Infancia y la Adolescencia sigue sin surtir efectos para su implementación, se contaba con un plazo de ciento ochenta días, para que la Secretaría de Salud, en coordinación con los demás miembros del Sistema Nacional de Salud, emitieran las disposiciones de carácter general para la operación de los mecanismos de la mencionada Red y a la fecha sigue pendiente. </w:t>
      </w:r>
    </w:p>
    <w:p w14:paraId="175ADAB2"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No se llevaron a cabo las modificaciones necesarias al Reglamento del Registro Nacional de Cáncer para los efectos de este Decreto en los noventa días que establecen los transitorios de la ley, </w:t>
      </w:r>
    </w:p>
    <w:p w14:paraId="13848D6C"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Tampoco se adecuó el Decreto del Consejo Nacional para la Prevención y el Tratamiento del Cáncer en la Infancia y la Adolescencia, el cual ya no es acorde a las instituciones de salud actuales. </w:t>
      </w:r>
    </w:p>
    <w:p w14:paraId="5F3228E5"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La Secretaría no realizó las modificaciones a la Norma Oficial Mexicana y demás disposiciones administrativas relativas al Sistema Nacional de información Básica en Materia de Salud para la recopilación, integración y disposición de la información de los pacientes.</w:t>
      </w:r>
    </w:p>
    <w:p w14:paraId="2257D008" w14:textId="77777777" w:rsidR="00CE707E" w:rsidRDefault="00DD7BD0">
      <w:pPr>
        <w:pStyle w:val="Prrafodelista"/>
        <w:numPr>
          <w:ilvl w:val="0"/>
          <w:numId w:val="1"/>
        </w:numPr>
        <w:spacing w:before="240" w:after="240" w:line="336" w:lineRule="auto"/>
        <w:jc w:val="both"/>
        <w:rPr>
          <w:rFonts w:ascii="Arial" w:eastAsia="FangSong" w:hAnsi="Arial" w:cs="Arial"/>
          <w:sz w:val="24"/>
          <w:szCs w:val="24"/>
        </w:rPr>
      </w:pPr>
      <w:r>
        <w:rPr>
          <w:rFonts w:ascii="Arial" w:eastAsia="FangSong" w:hAnsi="Arial" w:cs="Arial"/>
          <w:sz w:val="24"/>
          <w:szCs w:val="24"/>
        </w:rPr>
        <w:t>En el presupuesto de egresos no se dispone de partida en materia de cáncer en la infancia y la adolescencia.</w:t>
      </w:r>
    </w:p>
    <w:p w14:paraId="1DD47988"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Además de que no hay una partida especial en materia de cáncer infantil, nos encontramos durante esta administración federal, con el más bajo presupuesto histórico para el Instituto Nacional de Cancerología, ya que si bien desde antes del 2017 iba en incremento cada ejercicio fiscal, a partir del 2019 que comenzó el primer proyecto de presupuesto de egresos de la cuarta transformación, se fue hacia abajo el presupuesto, teniendo para el 2024, un presupuesto totalmente deficiente, podemos observar en la siguiente tabla un comparativo desde el 2017 en delante: </w:t>
      </w:r>
    </w:p>
    <w:p w14:paraId="7B4719D7"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Para el ejercicio fiscal 2018, se contemplaba un recurso de más de doscientos veinte millones, sin embargo, comenzó a reducirse de manera alarmante a partir del 2021, lo cual es contradictorio con la entrada en vigor de la Ley General para la Detección Oportuna del Cáncer en la Infancia y la Adolescencia, que fue precisamente en ese 2021 que se publicó en el Diario Oficial de la Federación. </w:t>
      </w:r>
    </w:p>
    <w:p w14:paraId="71B73939"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noProof/>
          <w:sz w:val="24"/>
          <w:szCs w:val="24"/>
        </w:rPr>
        <w:drawing>
          <wp:anchor distT="0" distB="0" distL="114300" distR="114300" simplePos="0" relativeHeight="251660288" behindDoc="1" locked="0" layoutInCell="1" allowOverlap="1" wp14:anchorId="082878E2" wp14:editId="13B23B43">
            <wp:simplePos x="0" y="0"/>
            <wp:positionH relativeFrom="margin">
              <wp:posOffset>12065</wp:posOffset>
            </wp:positionH>
            <wp:positionV relativeFrom="paragraph">
              <wp:posOffset>768350</wp:posOffset>
            </wp:positionV>
            <wp:extent cx="5699760" cy="428625"/>
            <wp:effectExtent l="0" t="0" r="34290" b="47625"/>
            <wp:wrapTight wrapText="bothSides">
              <wp:wrapPolygon edited="0">
                <wp:start x="0" y="0"/>
                <wp:lineTo x="0" y="20416"/>
                <wp:lineTo x="21513" y="20416"/>
                <wp:lineTo x="2151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699760" cy="428625"/>
                    </a:xfrm>
                    <a:prstGeom prst="rect">
                      <a:avLst/>
                    </a:prstGeom>
                  </pic:spPr>
                </pic:pic>
              </a:graphicData>
            </a:graphic>
          </wp:anchor>
        </w:drawing>
      </w:r>
      <w:r>
        <w:rPr>
          <w:rFonts w:ascii="Arial" w:eastAsia="FangSong" w:hAnsi="Arial" w:cs="Arial"/>
          <w:sz w:val="24"/>
          <w:szCs w:val="24"/>
        </w:rPr>
        <w:t xml:space="preserve">Para ese ejercicio fiscal 2021 se autorizaron solamente 124 millones de pesos, más de cien millones menos que el presupuesto que se tenía en el 2018, año en que comenzó la administración federal actual. </w:t>
      </w:r>
    </w:p>
    <w:p w14:paraId="1D1B441C" w14:textId="5924D30A"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En el caso del </w:t>
      </w:r>
      <w:r>
        <w:rPr>
          <w:rFonts w:ascii="Arial" w:eastAsia="FangSong" w:hAnsi="Arial" w:cs="Arial"/>
          <w:b/>
          <w:bCs/>
          <w:sz w:val="24"/>
          <w:szCs w:val="24"/>
        </w:rPr>
        <w:t xml:space="preserve">Centro </w:t>
      </w:r>
      <w:r>
        <w:rPr>
          <w:rFonts w:ascii="Arial" w:eastAsia="FangSong" w:hAnsi="Arial" w:cs="Arial"/>
          <w:b/>
          <w:bCs/>
          <w:i/>
          <w:iCs/>
          <w:sz w:val="24"/>
          <w:szCs w:val="24"/>
        </w:rPr>
        <w:t xml:space="preserve">Nacional para la Salud de la Infancia y la Adolescencia, </w:t>
      </w:r>
      <w:r>
        <w:rPr>
          <w:rFonts w:ascii="Arial" w:eastAsia="FangSong" w:hAnsi="Arial" w:cs="Arial"/>
          <w:sz w:val="24"/>
          <w:szCs w:val="24"/>
        </w:rPr>
        <w:t xml:space="preserve">autoridad encargada de la instrumentación de la Ley en materia de cáncer infantil, de igual manera que el Instituto antes mencionado, contradictoriamente con la expedición de la Ley entre el año 2022 y 2024 ha sufrido una reducción importante en sus recursos. Se muestra un comparativo del Presupuesto de Egresos de la Federación en sus ejercicios fiscales 2022, 2023 y 2024, en el Ramo 12, perteneciente a salud: </w:t>
      </w:r>
    </w:p>
    <w:p w14:paraId="74C10484" w14:textId="77777777" w:rsidR="00A27C6D" w:rsidRPr="00A27C6D" w:rsidRDefault="00A27C6D">
      <w:pPr>
        <w:spacing w:before="240" w:after="240" w:line="336" w:lineRule="auto"/>
        <w:jc w:val="both"/>
        <w:rPr>
          <w:rFonts w:ascii="Arial" w:eastAsia="FangSong" w:hAnsi="Arial" w:cs="Arial"/>
          <w:sz w:val="10"/>
          <w:szCs w:val="10"/>
        </w:rPr>
      </w:pPr>
    </w:p>
    <w:tbl>
      <w:tblPr>
        <w:tblStyle w:val="Tablaconcuadrcula"/>
        <w:tblW w:w="8795" w:type="dxa"/>
        <w:jc w:val="center"/>
        <w:tblLayout w:type="fixed"/>
        <w:tblLook w:val="04A0" w:firstRow="1" w:lastRow="0" w:firstColumn="1" w:lastColumn="0" w:noHBand="0" w:noVBand="1"/>
      </w:tblPr>
      <w:tblGrid>
        <w:gridCol w:w="2881"/>
        <w:gridCol w:w="1945"/>
        <w:gridCol w:w="1985"/>
        <w:gridCol w:w="1984"/>
      </w:tblGrid>
      <w:tr w:rsidR="00CE707E" w14:paraId="48E2B5D7" w14:textId="77777777">
        <w:trPr>
          <w:trHeight w:val="141"/>
          <w:jc w:val="center"/>
        </w:trPr>
        <w:tc>
          <w:tcPr>
            <w:tcW w:w="2881" w:type="dxa"/>
            <w:vMerge w:val="restart"/>
          </w:tcPr>
          <w:p w14:paraId="3A109826" w14:textId="77777777" w:rsidR="00CE707E" w:rsidRDefault="00DD7BD0">
            <w:pPr>
              <w:spacing w:before="240" w:after="240" w:line="336" w:lineRule="auto"/>
              <w:jc w:val="center"/>
              <w:rPr>
                <w:rFonts w:ascii="Arial" w:hAnsi="Arial" w:cs="Arial"/>
                <w:b/>
                <w:bCs/>
                <w:sz w:val="24"/>
                <w:szCs w:val="24"/>
              </w:rPr>
            </w:pPr>
            <w:r>
              <w:rPr>
                <w:rFonts w:ascii="Arial" w:hAnsi="Arial" w:cs="Arial"/>
                <w:b/>
                <w:bCs/>
                <w:sz w:val="24"/>
                <w:szCs w:val="24"/>
              </w:rPr>
              <w:t xml:space="preserve">Centro </w:t>
            </w:r>
            <w:r>
              <w:rPr>
                <w:rFonts w:ascii="Arial" w:hAnsi="Arial" w:cs="Arial"/>
                <w:b/>
                <w:bCs/>
                <w:i/>
                <w:iCs/>
                <w:sz w:val="24"/>
                <w:szCs w:val="24"/>
              </w:rPr>
              <w:t>Nacional para la Salud de la Infancia y la Adolescencia</w:t>
            </w:r>
          </w:p>
        </w:tc>
        <w:tc>
          <w:tcPr>
            <w:tcW w:w="1945" w:type="dxa"/>
          </w:tcPr>
          <w:p w14:paraId="29A9C991" w14:textId="77777777" w:rsidR="00CE707E" w:rsidRDefault="00DD7BD0">
            <w:pPr>
              <w:spacing w:before="240" w:after="240" w:line="336" w:lineRule="auto"/>
              <w:jc w:val="center"/>
              <w:rPr>
                <w:rFonts w:ascii="Arial" w:hAnsi="Arial" w:cs="Arial"/>
                <w:b/>
                <w:bCs/>
                <w:sz w:val="24"/>
                <w:szCs w:val="24"/>
              </w:rPr>
            </w:pPr>
            <w:r>
              <w:rPr>
                <w:rFonts w:ascii="Arial" w:hAnsi="Arial" w:cs="Arial"/>
                <w:b/>
                <w:bCs/>
                <w:sz w:val="24"/>
                <w:szCs w:val="24"/>
              </w:rPr>
              <w:t>2022</w:t>
            </w:r>
          </w:p>
        </w:tc>
        <w:tc>
          <w:tcPr>
            <w:tcW w:w="1985" w:type="dxa"/>
          </w:tcPr>
          <w:p w14:paraId="71A67865" w14:textId="77777777" w:rsidR="00CE707E" w:rsidRDefault="00DD7BD0">
            <w:pPr>
              <w:spacing w:before="240" w:after="240" w:line="336" w:lineRule="auto"/>
              <w:jc w:val="center"/>
              <w:rPr>
                <w:rFonts w:ascii="Arial" w:hAnsi="Arial" w:cs="Arial"/>
                <w:b/>
                <w:bCs/>
                <w:sz w:val="24"/>
                <w:szCs w:val="24"/>
              </w:rPr>
            </w:pPr>
            <w:r>
              <w:rPr>
                <w:rFonts w:ascii="Arial" w:hAnsi="Arial" w:cs="Arial"/>
                <w:b/>
                <w:bCs/>
                <w:sz w:val="24"/>
                <w:szCs w:val="24"/>
              </w:rPr>
              <w:t>2023</w:t>
            </w:r>
          </w:p>
        </w:tc>
        <w:tc>
          <w:tcPr>
            <w:tcW w:w="1984" w:type="dxa"/>
          </w:tcPr>
          <w:p w14:paraId="1A65A7CA" w14:textId="77777777" w:rsidR="00CE707E" w:rsidRDefault="00DD7BD0">
            <w:pPr>
              <w:spacing w:before="240" w:after="240" w:line="336" w:lineRule="auto"/>
              <w:jc w:val="center"/>
              <w:rPr>
                <w:rFonts w:ascii="Arial" w:hAnsi="Arial" w:cs="Arial"/>
                <w:b/>
                <w:bCs/>
                <w:sz w:val="24"/>
                <w:szCs w:val="24"/>
              </w:rPr>
            </w:pPr>
            <w:r>
              <w:rPr>
                <w:rFonts w:ascii="Arial" w:hAnsi="Arial" w:cs="Arial"/>
                <w:b/>
                <w:bCs/>
                <w:sz w:val="24"/>
                <w:szCs w:val="24"/>
              </w:rPr>
              <w:t>2024</w:t>
            </w:r>
          </w:p>
        </w:tc>
      </w:tr>
      <w:tr w:rsidR="00CE707E" w14:paraId="62E9F138" w14:textId="77777777">
        <w:trPr>
          <w:jc w:val="center"/>
        </w:trPr>
        <w:tc>
          <w:tcPr>
            <w:tcW w:w="2881" w:type="dxa"/>
            <w:vMerge/>
          </w:tcPr>
          <w:p w14:paraId="3C66E18E" w14:textId="77777777" w:rsidR="00CE707E" w:rsidRDefault="00CE707E">
            <w:pPr>
              <w:spacing w:before="240" w:after="240" w:line="336" w:lineRule="auto"/>
              <w:rPr>
                <w:rFonts w:ascii="Arial" w:hAnsi="Arial" w:cs="Arial"/>
                <w:sz w:val="24"/>
                <w:szCs w:val="24"/>
              </w:rPr>
            </w:pPr>
          </w:p>
        </w:tc>
        <w:tc>
          <w:tcPr>
            <w:tcW w:w="1945" w:type="dxa"/>
            <w:shd w:val="clear" w:color="auto" w:fill="A8D08D" w:themeFill="accent6" w:themeFillTint="99"/>
          </w:tcPr>
          <w:p w14:paraId="51E7E65E" w14:textId="77777777" w:rsidR="00CE707E" w:rsidRDefault="00DD7BD0">
            <w:pPr>
              <w:spacing w:before="240" w:after="240" w:line="336" w:lineRule="auto"/>
              <w:rPr>
                <w:rFonts w:ascii="Arial" w:hAnsi="Arial" w:cs="Arial"/>
                <w:sz w:val="24"/>
                <w:szCs w:val="24"/>
              </w:rPr>
            </w:pPr>
            <w:r>
              <w:rPr>
                <w:rFonts w:ascii="Arial" w:hAnsi="Arial" w:cs="Arial"/>
                <w:sz w:val="24"/>
                <w:szCs w:val="24"/>
              </w:rPr>
              <w:t>28,815,166,089</w:t>
            </w:r>
          </w:p>
        </w:tc>
        <w:tc>
          <w:tcPr>
            <w:tcW w:w="1985" w:type="dxa"/>
          </w:tcPr>
          <w:p w14:paraId="487D7F90" w14:textId="77777777" w:rsidR="00CE707E" w:rsidRDefault="00DD7BD0">
            <w:pPr>
              <w:spacing w:before="240" w:after="240" w:line="336" w:lineRule="auto"/>
              <w:rPr>
                <w:rFonts w:ascii="Arial" w:hAnsi="Arial" w:cs="Arial"/>
                <w:sz w:val="24"/>
                <w:szCs w:val="24"/>
              </w:rPr>
            </w:pPr>
            <w:r>
              <w:rPr>
                <w:rFonts w:ascii="Arial" w:hAnsi="Arial" w:cs="Arial"/>
                <w:sz w:val="24"/>
                <w:szCs w:val="24"/>
              </w:rPr>
              <w:t>14,107,003,463</w:t>
            </w:r>
          </w:p>
        </w:tc>
        <w:tc>
          <w:tcPr>
            <w:tcW w:w="1984" w:type="dxa"/>
            <w:shd w:val="clear" w:color="auto" w:fill="FF0000"/>
          </w:tcPr>
          <w:p w14:paraId="119381DF" w14:textId="77777777" w:rsidR="00CE707E" w:rsidRDefault="00DD7BD0">
            <w:pPr>
              <w:spacing w:before="240" w:after="240" w:line="336" w:lineRule="auto"/>
              <w:rPr>
                <w:rFonts w:ascii="Arial" w:hAnsi="Arial" w:cs="Arial"/>
                <w:sz w:val="24"/>
                <w:szCs w:val="24"/>
              </w:rPr>
            </w:pPr>
            <w:r>
              <w:rPr>
                <w:rFonts w:ascii="Arial" w:hAnsi="Arial" w:cs="Arial"/>
                <w:sz w:val="24"/>
                <w:szCs w:val="24"/>
              </w:rPr>
              <w:t>14,121,550,153</w:t>
            </w:r>
          </w:p>
        </w:tc>
      </w:tr>
    </w:tbl>
    <w:p w14:paraId="78D896F8" w14:textId="77777777" w:rsidR="00A27C6D" w:rsidRPr="00A27C6D" w:rsidRDefault="00A27C6D">
      <w:pPr>
        <w:spacing w:before="240" w:after="240" w:line="336" w:lineRule="auto"/>
        <w:jc w:val="both"/>
        <w:rPr>
          <w:rFonts w:ascii="Arial" w:eastAsia="FangSong" w:hAnsi="Arial" w:cs="Arial"/>
          <w:sz w:val="10"/>
          <w:szCs w:val="10"/>
        </w:rPr>
      </w:pPr>
    </w:p>
    <w:p w14:paraId="43D7EDCD" w14:textId="2BD72CA6"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Podemos observar que entre 2022 y 2024 se redujeron más de 10 mil millones de pesos. </w:t>
      </w:r>
    </w:p>
    <w:p w14:paraId="4DCA9FFF"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Nos encontramos no sólo ante la falta de un respaldo jurídico, sino en números rojos en cuanto a los recursos. Es así que ante la enfermedad del cáncer infantil no se cuenta con un respaldo por parte de Gobierno federal, ni existe la prioridad para atender este padecimiento, ya que habiendo pasado más de tres años de la expedición de la ley, aún no se da cumplimiento con los transitorios indispensables para su aplicación, y dado que no existen medidas preventivas que se puedan tomar, no contamos con una estrategia nacional para garantizar la vida de las niñas y los niños ante este padecimiento.</w:t>
      </w:r>
    </w:p>
    <w:p w14:paraId="7168E143"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En este sentido, es importante recalcar que un gran número de defunciones por cáncer infantil pueden ser evitables ya que se derivan de la falta de diagnóstico, diagnósticos incorrectos; y principalmente, diagnósticos tardíos. He aquí la relevancia de obtener un diagnóstico a tiempo, de actuar de manera preventiva y de regular dicha actuación en los órganos correspondientes, así como de garantizar la calidad del tratamiento.</w:t>
      </w:r>
    </w:p>
    <w:p w14:paraId="5F96A93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Sin embargo, podemos observar que no se cuenta con presupuesto en la materia; lo cual afecta gravemente a las niñas y niños con este padecimiento, ya que el tratamiento puede ser costoso, lo que termina por ser determinante y perjudicial sobre la salud de las niñas, niños y adolescentes con cáncer.</w:t>
      </w:r>
    </w:p>
    <w:p w14:paraId="31E5C5B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En este sentido, de acuerdo con el Instituto Nacional de Pediatría, un niño con leucemia requiere de tratamientos cuyo costo es de alrededor de un millón de pesos por cada año de tratamiento. Otros datos señalan que el tratamiento de un menor a 18 años puede llegar a costar cerca de 250 mil pesos, y para un joven de entre los 18 y los 21 años de edad, el costo se eleva hasta alcanzar los 400 mil pesos.</w:t>
      </w:r>
    </w:p>
    <w:p w14:paraId="56DE1208"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La Asociación Mexicana de Ayuda a Niños con Cáncer estima que el tratamiento para el cáncer infantil cuesta alrededor de 9 mil pesos semanales en promedio, lo que resulta en 432 mil pesos anuales. Para un caso específico, los costos de atención promedio en el Hospital Infantil Teletón de Oncología varían desde los 300 mil pesos hasta los dos millones de pesos. Asimismo, la amplia necesidad de servicios de salud y procedimientos quirúrgicos puede elevar, en caso de requerir terapia intensiva, hasta 22 mil pesos diarios.</w:t>
      </w:r>
    </w:p>
    <w:p w14:paraId="2066AAFA"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A los costos por hospitalización e insumos se le deben de agregar el costo por medicamentos lo que eleva la cifra que deben pagar por los padecimientos. Algunos </w:t>
      </w:r>
      <w:r>
        <w:rPr>
          <w:rFonts w:ascii="Arial" w:eastAsia="FangSong" w:hAnsi="Arial" w:cs="Arial"/>
          <w:sz w:val="24"/>
          <w:szCs w:val="24"/>
        </w:rPr>
        <w:lastRenderedPageBreak/>
        <w:t xml:space="preserve">de estos medicamentos como la vincristina cuestan alrededor de 900 pesos la dosis para dos semanas, o el </w:t>
      </w:r>
      <w:proofErr w:type="spellStart"/>
      <w:r>
        <w:rPr>
          <w:rFonts w:ascii="Arial" w:eastAsia="FangSong" w:hAnsi="Arial" w:cs="Arial"/>
          <w:sz w:val="24"/>
          <w:szCs w:val="24"/>
        </w:rPr>
        <w:t>cardioxane</w:t>
      </w:r>
      <w:proofErr w:type="spellEnd"/>
      <w:r>
        <w:rPr>
          <w:rFonts w:ascii="Arial" w:eastAsia="FangSong" w:hAnsi="Arial" w:cs="Arial"/>
          <w:sz w:val="24"/>
          <w:szCs w:val="24"/>
        </w:rPr>
        <w:t>, que ronda los 6 mil 259 pesos.</w:t>
      </w:r>
    </w:p>
    <w:p w14:paraId="1DBA0C25"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Como puede verse, el cáncer es una de las enfermedades que mayor impacto económico representa para el enfermo y su familia.</w:t>
      </w:r>
    </w:p>
    <w:p w14:paraId="05709A5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Desafortunadamente en nuestro país, el 65 por ciento de los casos tienen un diagnóstico tardío, y sin una correcta política de atención y sin la partida presupuestal que le de soporte se deja en la indefensión y sin protección de la salud a las niñas, niños y adolescentes en México. </w:t>
      </w:r>
    </w:p>
    <w:p w14:paraId="4BDCFC14"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Del análisis de lo anterior se desprende la necesidad de implementar las acciones conducentes para garantizar que efectivamente ningún niño, niña o adolescente con cáncer en nuestro país se quede sin tratamiento, para lo cual resulta prioritario garantizar las previsiones presupuestales destinadas a la prevención y tratamiento del cáncer infantil, desde nuestro marco jurídico federal y estatal. </w:t>
      </w:r>
    </w:p>
    <w:p w14:paraId="77BF5F4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Debemos hacer un compromiso para asegurar la salud universal de niñas, niños y adolescentes mexicanos, así como la orientación, control y vigilancia en materia de cáncer infantil para la detección oportuna de los factores de riesgo del cáncer y su acceso a tratamientos de calidad. El propósito es posicionar en la agenda pública el cáncer infantil como un problema de salud, y movilizar al Estado y las demás fuerzas de la sociedad para el control de la enfermedad. </w:t>
      </w:r>
    </w:p>
    <w:p w14:paraId="03B65892"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Es también imprescindible encontrar una fórmula que permita financiar los gastos complementarios al tratamiento, especialmente de quienes se atienden en lugares diferentes al de su residencia, para reducir al máximo el porcentaje de abandono. </w:t>
      </w:r>
    </w:p>
    <w:p w14:paraId="05709A9B"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En virtud de legislar a favor de las personas más vulnerables, buscando proteger la vida, la salud y el bienestar de todos los mexicanos, y por las cuestiones presentadas en esta iniciativa, sometemos a consideración de este Honorable Cuerpo Colegiado, el siguiente proyecto de:</w:t>
      </w:r>
    </w:p>
    <w:p w14:paraId="4BE7DD50" w14:textId="77777777" w:rsidR="00CE707E" w:rsidRDefault="00DD7BD0">
      <w:pPr>
        <w:spacing w:before="240" w:after="240" w:line="336" w:lineRule="auto"/>
        <w:jc w:val="center"/>
        <w:rPr>
          <w:rFonts w:ascii="Arial" w:eastAsia="FangSong" w:hAnsi="Arial" w:cs="Arial"/>
          <w:b/>
          <w:bCs/>
          <w:sz w:val="24"/>
          <w:szCs w:val="24"/>
        </w:rPr>
      </w:pPr>
      <w:r>
        <w:rPr>
          <w:rFonts w:ascii="Arial" w:eastAsia="FangSong" w:hAnsi="Arial" w:cs="Arial"/>
          <w:b/>
          <w:bCs/>
          <w:sz w:val="24"/>
          <w:szCs w:val="24"/>
        </w:rPr>
        <w:t xml:space="preserve">DECRETO ANTE EL H. CONGRESO DE LA UNIÓN. </w:t>
      </w:r>
    </w:p>
    <w:p w14:paraId="192217F6"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PRIMERO. Se adiciona un inciso x) a la fracción II del artículo 41 de la Ley Federal de Presupuesto y Responsabilidad Hacendaria, a efecto de quedar en los siguientes términos: </w:t>
      </w:r>
    </w:p>
    <w:p w14:paraId="4BFE004C"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Artículo 41.- El proyecto de Presupuesto de Egresos contendrá:</w:t>
      </w:r>
    </w:p>
    <w:p w14:paraId="6A5E4BD5"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I…</w:t>
      </w:r>
    </w:p>
    <w:p w14:paraId="3E901D9E" w14:textId="77777777" w:rsidR="00CE707E" w:rsidRDefault="00DD7BD0">
      <w:pPr>
        <w:pStyle w:val="Prrafodelista"/>
        <w:numPr>
          <w:ilvl w:val="0"/>
          <w:numId w:val="2"/>
        </w:numPr>
        <w:spacing w:before="240" w:after="240" w:line="336" w:lineRule="auto"/>
        <w:jc w:val="both"/>
        <w:rPr>
          <w:rFonts w:ascii="Arial" w:eastAsia="FangSong" w:hAnsi="Arial" w:cs="Arial"/>
          <w:sz w:val="24"/>
          <w:szCs w:val="24"/>
        </w:rPr>
      </w:pPr>
      <w:r>
        <w:rPr>
          <w:rFonts w:ascii="Arial" w:eastAsia="FangSong" w:hAnsi="Arial" w:cs="Arial"/>
          <w:sz w:val="24"/>
          <w:szCs w:val="24"/>
        </w:rPr>
        <w:t>a e) …</w:t>
      </w:r>
    </w:p>
    <w:p w14:paraId="39CD1E2D"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II. El proyecto de Decreto, los anexos y tomos, los cuales incluirán:</w:t>
      </w:r>
    </w:p>
    <w:p w14:paraId="0D0B6DC8" w14:textId="77777777" w:rsidR="00CE707E" w:rsidRDefault="00DD7BD0">
      <w:pPr>
        <w:pStyle w:val="Prrafodelista"/>
        <w:numPr>
          <w:ilvl w:val="0"/>
          <w:numId w:val="3"/>
        </w:numPr>
        <w:spacing w:before="240" w:after="240" w:line="336" w:lineRule="auto"/>
        <w:jc w:val="both"/>
        <w:rPr>
          <w:rFonts w:ascii="Arial" w:eastAsia="FangSong" w:hAnsi="Arial" w:cs="Arial"/>
          <w:sz w:val="24"/>
          <w:szCs w:val="24"/>
        </w:rPr>
      </w:pPr>
      <w:r>
        <w:rPr>
          <w:rFonts w:ascii="Arial" w:eastAsia="FangSong" w:hAnsi="Arial" w:cs="Arial"/>
          <w:sz w:val="24"/>
          <w:szCs w:val="24"/>
        </w:rPr>
        <w:t>a w) …</w:t>
      </w:r>
    </w:p>
    <w:p w14:paraId="0A7F456F" w14:textId="77777777" w:rsidR="00CE707E" w:rsidRDefault="00DD7BD0">
      <w:pPr>
        <w:spacing w:before="240" w:after="240" w:line="336" w:lineRule="auto"/>
        <w:ind w:left="360"/>
        <w:jc w:val="both"/>
        <w:rPr>
          <w:rFonts w:ascii="Arial" w:eastAsia="FangSong" w:hAnsi="Arial" w:cs="Arial"/>
          <w:b/>
          <w:bCs/>
          <w:sz w:val="24"/>
          <w:szCs w:val="24"/>
        </w:rPr>
      </w:pPr>
      <w:r>
        <w:rPr>
          <w:rFonts w:ascii="Arial" w:eastAsia="FangSong" w:hAnsi="Arial" w:cs="Arial"/>
          <w:b/>
          <w:bCs/>
          <w:sz w:val="24"/>
          <w:szCs w:val="24"/>
        </w:rPr>
        <w:t>x) Las previsiones de gasto que correspondan a las erogaciones para garantizar en todas las entidades federativas, la detección oportuna y tratamiento de calidad para todos los tipos de cáncer en niñas, niños y adolescentes, así como lo correspondiente para la organización, integración y coordinación del Registro Nacional de Cáncer.</w:t>
      </w:r>
    </w:p>
    <w:p w14:paraId="4F977A81"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lastRenderedPageBreak/>
        <w:t xml:space="preserve">SEGUNDO. Se adiciona un segundo párrafo al artículo 2 a la Ley General para la Detección Oportuna del Cáncer en la Infancia y la Adolescencia, a efecto de quedar en los siguientes términos: </w:t>
      </w:r>
    </w:p>
    <w:p w14:paraId="01439623"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Artículo 2. …</w:t>
      </w:r>
    </w:p>
    <w:p w14:paraId="18E36614" w14:textId="77777777" w:rsidR="00CE707E" w:rsidRDefault="00DD7BD0">
      <w:pPr>
        <w:spacing w:before="240" w:after="240" w:line="336" w:lineRule="auto"/>
        <w:jc w:val="both"/>
        <w:rPr>
          <w:rFonts w:ascii="Arial" w:eastAsia="FangSong" w:hAnsi="Arial" w:cs="Arial"/>
          <w:b/>
          <w:bCs/>
          <w:sz w:val="24"/>
          <w:szCs w:val="24"/>
        </w:rPr>
      </w:pPr>
      <w:r>
        <w:rPr>
          <w:rFonts w:ascii="Arial" w:eastAsia="FangSong" w:hAnsi="Arial" w:cs="Arial"/>
          <w:b/>
          <w:bCs/>
          <w:sz w:val="24"/>
          <w:szCs w:val="24"/>
        </w:rPr>
        <w:t>Las dependencias pertenecientes al Sistema Nacional de Salud, en coordinación con la Secretaría de Hacienda y Crédito Público y demás dependencias competentes, adoptarán todas las medidas administrativas y presupuestales necesarias que garanticen a niñas, niños y adolescentes con sospecha o diagnóstico de cáncer, el acceso a los servicios de atención médica especializada, tratamientos y medicamentos necesarios.</w:t>
      </w:r>
    </w:p>
    <w:p w14:paraId="66CFCAEE"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 xml:space="preserve">TERCERO. Se adiciona una fracción II Bis al artículo 50 de la Ley General de los Derechos de Niñas, Niños y Adolescentes, a efecto de quedar en los siguientes términos: </w:t>
      </w:r>
    </w:p>
    <w:p w14:paraId="4CA9049C"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Artículo 50.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 la Ciudad de México, en el ámbito de sus respectivas competencias, en relación con los derechos de niñas, niños y adolescentes, se coordinarán a fin de:</w:t>
      </w:r>
    </w:p>
    <w:p w14:paraId="0B22A54C" w14:textId="77777777" w:rsidR="00CE707E" w:rsidRDefault="00DD7BD0">
      <w:pPr>
        <w:spacing w:before="240" w:after="240" w:line="336" w:lineRule="auto"/>
        <w:jc w:val="both"/>
        <w:rPr>
          <w:rFonts w:ascii="Arial" w:eastAsia="FangSong" w:hAnsi="Arial" w:cs="Arial"/>
          <w:sz w:val="24"/>
          <w:szCs w:val="24"/>
        </w:rPr>
      </w:pPr>
      <w:r>
        <w:rPr>
          <w:rFonts w:ascii="Arial" w:eastAsia="FangSong" w:hAnsi="Arial" w:cs="Arial"/>
          <w:sz w:val="24"/>
          <w:szCs w:val="24"/>
        </w:rPr>
        <w:t>I a II…</w:t>
      </w:r>
    </w:p>
    <w:p w14:paraId="4B2C192B" w14:textId="77777777" w:rsidR="00CE707E" w:rsidRDefault="00DD7BD0">
      <w:pPr>
        <w:spacing w:before="240" w:after="240" w:line="336" w:lineRule="auto"/>
        <w:jc w:val="both"/>
        <w:rPr>
          <w:rFonts w:ascii="Arial" w:eastAsia="FangSong" w:hAnsi="Arial" w:cs="Arial"/>
          <w:b/>
          <w:bCs/>
          <w:sz w:val="24"/>
          <w:szCs w:val="24"/>
        </w:rPr>
      </w:pPr>
      <w:r>
        <w:rPr>
          <w:rFonts w:ascii="Arial" w:eastAsia="FangSong" w:hAnsi="Arial" w:cs="Arial"/>
          <w:sz w:val="24"/>
          <w:szCs w:val="24"/>
        </w:rPr>
        <w:lastRenderedPageBreak/>
        <w:t xml:space="preserve">II Bis. </w:t>
      </w:r>
      <w:r>
        <w:rPr>
          <w:rFonts w:ascii="Arial" w:eastAsia="FangSong" w:hAnsi="Arial" w:cs="Arial"/>
          <w:b/>
          <w:bCs/>
          <w:sz w:val="24"/>
          <w:szCs w:val="24"/>
        </w:rPr>
        <w:t xml:space="preserve">Establecer los recursos administrativos y financieros necesarios que garanticen a niñas, niños y adolescentes que lo requieran, el acceso a los servicios de atención médica especializada, tratamientos y medicamentos, especialmente los refrentes a cáncer. </w:t>
      </w:r>
    </w:p>
    <w:p w14:paraId="75CE682D" w14:textId="77777777" w:rsidR="00CE707E" w:rsidRDefault="00DD7BD0">
      <w:pPr>
        <w:spacing w:before="120" w:after="120" w:line="336" w:lineRule="auto"/>
        <w:jc w:val="both"/>
        <w:rPr>
          <w:rFonts w:ascii="Arial" w:eastAsia="FangSong" w:hAnsi="Arial" w:cs="Arial"/>
          <w:sz w:val="24"/>
          <w:szCs w:val="24"/>
        </w:rPr>
      </w:pPr>
      <w:r>
        <w:rPr>
          <w:rFonts w:ascii="Arial" w:eastAsia="FangSong" w:hAnsi="Arial" w:cs="Arial"/>
          <w:sz w:val="24"/>
          <w:szCs w:val="24"/>
        </w:rPr>
        <w:t>III a XVIII…</w:t>
      </w:r>
    </w:p>
    <w:p w14:paraId="0A7F7339" w14:textId="77777777" w:rsidR="00CE707E" w:rsidRDefault="00DD7BD0">
      <w:pPr>
        <w:spacing w:before="120" w:after="120" w:line="336" w:lineRule="auto"/>
        <w:jc w:val="center"/>
        <w:rPr>
          <w:rFonts w:ascii="Arial" w:eastAsia="FangSong" w:hAnsi="Arial" w:cs="Arial"/>
          <w:b/>
          <w:bCs/>
          <w:sz w:val="24"/>
          <w:szCs w:val="24"/>
        </w:rPr>
      </w:pPr>
      <w:r>
        <w:rPr>
          <w:rFonts w:ascii="Arial" w:eastAsia="FangSong" w:hAnsi="Arial" w:cs="Arial"/>
          <w:b/>
          <w:bCs/>
          <w:sz w:val="24"/>
          <w:szCs w:val="24"/>
        </w:rPr>
        <w:t>TRANSITORIOS</w:t>
      </w:r>
    </w:p>
    <w:p w14:paraId="56740256" w14:textId="77777777" w:rsidR="00CE707E" w:rsidRDefault="00DD7BD0">
      <w:pPr>
        <w:spacing w:before="120" w:after="120" w:line="336" w:lineRule="auto"/>
        <w:jc w:val="both"/>
        <w:rPr>
          <w:rFonts w:ascii="Arial" w:hAnsi="Arial" w:cs="Arial"/>
          <w:bCs/>
          <w:sz w:val="24"/>
          <w:szCs w:val="24"/>
        </w:rPr>
      </w:pPr>
      <w:r>
        <w:rPr>
          <w:rFonts w:ascii="Arial" w:hAnsi="Arial" w:cs="Arial"/>
          <w:bCs/>
          <w:sz w:val="24"/>
          <w:szCs w:val="24"/>
        </w:rPr>
        <w:t>ÚNICO. Aprobado que sea, túrnese a la Secretaría para que elabore la Minuta de Decreto ante el Congreso de la Unión en los términos correspondientes, y la turne a las instancias competentes.</w:t>
      </w:r>
    </w:p>
    <w:p w14:paraId="3B8A72A9" w14:textId="2824B0EA" w:rsidR="00CE707E" w:rsidRDefault="00DD7BD0">
      <w:pPr>
        <w:spacing w:before="120" w:after="120" w:line="336" w:lineRule="auto"/>
        <w:jc w:val="both"/>
        <w:rPr>
          <w:rFonts w:ascii="Arial" w:hAnsi="Arial" w:cs="Arial"/>
          <w:sz w:val="25"/>
          <w:szCs w:val="25"/>
        </w:rPr>
      </w:pPr>
      <w:r>
        <w:rPr>
          <w:rFonts w:ascii="Arial" w:hAnsi="Arial" w:cs="Arial"/>
          <w:sz w:val="25"/>
          <w:szCs w:val="25"/>
        </w:rPr>
        <w:t xml:space="preserve">Dado en el Recinto Oficial del H. Congreso del Estado de Chihuahua, a los </w:t>
      </w:r>
      <w:r w:rsidR="00A27C6D">
        <w:rPr>
          <w:rFonts w:ascii="Arial" w:hAnsi="Arial" w:cs="Arial"/>
          <w:sz w:val="25"/>
          <w:szCs w:val="25"/>
        </w:rPr>
        <w:t xml:space="preserve">17 </w:t>
      </w:r>
      <w:r>
        <w:rPr>
          <w:rFonts w:ascii="Arial" w:hAnsi="Arial" w:cs="Arial"/>
          <w:sz w:val="25"/>
          <w:szCs w:val="25"/>
        </w:rPr>
        <w:t xml:space="preserve">días del mes de </w:t>
      </w:r>
      <w:r w:rsidR="00273772">
        <w:rPr>
          <w:rFonts w:ascii="Arial" w:hAnsi="Arial" w:cs="Arial"/>
          <w:sz w:val="25"/>
          <w:szCs w:val="25"/>
        </w:rPr>
        <w:t>mayo</w:t>
      </w:r>
      <w:r>
        <w:rPr>
          <w:rFonts w:ascii="Arial" w:hAnsi="Arial" w:cs="Arial"/>
          <w:sz w:val="25"/>
          <w:szCs w:val="25"/>
        </w:rPr>
        <w:t xml:space="preserve"> del año dos mil veinticuatro. </w:t>
      </w:r>
    </w:p>
    <w:p w14:paraId="26E725D1" w14:textId="77777777" w:rsidR="00CE707E" w:rsidRDefault="00DD7BD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ATENTAMENTE.</w:t>
      </w:r>
    </w:p>
    <w:p w14:paraId="0CA27B0D" w14:textId="77777777" w:rsidR="00CE707E" w:rsidRDefault="00DD7BD0">
      <w:pPr>
        <w:spacing w:after="0" w:line="312" w:lineRule="auto"/>
        <w:jc w:val="center"/>
        <w:rPr>
          <w:rFonts w:ascii="Arial" w:eastAsia="DengXian Light" w:hAnsi="Arial" w:cs="Arial"/>
          <w:b/>
          <w:bCs/>
          <w:sz w:val="25"/>
          <w:szCs w:val="25"/>
        </w:rPr>
      </w:pPr>
      <w:r>
        <w:rPr>
          <w:rFonts w:ascii="Arial" w:eastAsia="DengXian Light" w:hAnsi="Arial" w:cs="Arial"/>
          <w:b/>
          <w:bCs/>
          <w:sz w:val="25"/>
          <w:szCs w:val="25"/>
        </w:rPr>
        <w:t>POR EL GRUPO PARLAMENTARIO DEL PARTIDO ACCIÓN NACIONAL</w:t>
      </w:r>
    </w:p>
    <w:p w14:paraId="50575712" w14:textId="77777777" w:rsidR="00CE707E" w:rsidRDefault="00CE707E">
      <w:pPr>
        <w:spacing w:after="0" w:line="312" w:lineRule="auto"/>
        <w:jc w:val="center"/>
        <w:rPr>
          <w:rFonts w:ascii="Arial" w:eastAsia="DengXian Light" w:hAnsi="Arial" w:cs="Arial"/>
          <w:b/>
          <w:bCs/>
          <w:sz w:val="8"/>
          <w:szCs w:val="8"/>
        </w:rPr>
      </w:pPr>
    </w:p>
    <w:p w14:paraId="41B433F7" w14:textId="01381DB8" w:rsidR="00CE707E" w:rsidRDefault="00CE707E">
      <w:pPr>
        <w:spacing w:after="0" w:line="312" w:lineRule="auto"/>
        <w:jc w:val="center"/>
        <w:rPr>
          <w:rFonts w:ascii="Arial" w:eastAsia="DengXian Light" w:hAnsi="Arial" w:cs="Arial"/>
          <w:b/>
          <w:bCs/>
          <w:sz w:val="25"/>
          <w:szCs w:val="25"/>
        </w:rPr>
      </w:pPr>
    </w:p>
    <w:p w14:paraId="393A702F" w14:textId="77777777" w:rsidR="00CE707E" w:rsidRDefault="00CE707E">
      <w:pPr>
        <w:spacing w:after="0" w:line="312" w:lineRule="auto"/>
        <w:jc w:val="center"/>
        <w:rPr>
          <w:rFonts w:ascii="Arial" w:eastAsia="DengXian Light" w:hAnsi="Arial" w:cs="Arial"/>
          <w:b/>
          <w:bCs/>
          <w:sz w:val="25"/>
          <w:szCs w:val="25"/>
        </w:rPr>
      </w:pPr>
    </w:p>
    <w:p w14:paraId="11EE92AB" w14:textId="4B4D662B" w:rsidR="00CE707E" w:rsidRPr="00A27C6D" w:rsidRDefault="00273772">
      <w:pPr>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w:t>
      </w:r>
      <w:proofErr w:type="spellStart"/>
      <w:r w:rsidRPr="00A27C6D">
        <w:rPr>
          <w:rFonts w:ascii="Arial" w:eastAsia="DengXian Light" w:hAnsi="Arial" w:cs="Arial"/>
          <w:b/>
          <w:bCs/>
          <w:sz w:val="23"/>
          <w:szCs w:val="23"/>
        </w:rPr>
        <w:t>Zonnia</w:t>
      </w:r>
      <w:proofErr w:type="spellEnd"/>
      <w:r w:rsidRPr="00A27C6D">
        <w:rPr>
          <w:rFonts w:ascii="Arial" w:eastAsia="DengXian Light" w:hAnsi="Arial" w:cs="Arial"/>
          <w:b/>
          <w:bCs/>
          <w:sz w:val="23"/>
          <w:szCs w:val="23"/>
        </w:rPr>
        <w:t xml:space="preserve"> </w:t>
      </w:r>
      <w:proofErr w:type="spellStart"/>
      <w:r w:rsidRPr="00A27C6D">
        <w:rPr>
          <w:rFonts w:ascii="Arial" w:eastAsia="DengXian Light" w:hAnsi="Arial" w:cs="Arial"/>
          <w:b/>
          <w:bCs/>
          <w:sz w:val="23"/>
          <w:szCs w:val="23"/>
        </w:rPr>
        <w:t>Dunetschka</w:t>
      </w:r>
      <w:proofErr w:type="spellEnd"/>
      <w:r w:rsidRPr="00A27C6D">
        <w:rPr>
          <w:rFonts w:ascii="Arial" w:eastAsia="DengXian Light" w:hAnsi="Arial" w:cs="Arial"/>
          <w:b/>
          <w:bCs/>
          <w:sz w:val="23"/>
          <w:szCs w:val="23"/>
        </w:rPr>
        <w:t xml:space="preserve"> Alvarado </w:t>
      </w:r>
      <w:proofErr w:type="spellStart"/>
      <w:r w:rsidRPr="00A27C6D">
        <w:rPr>
          <w:rFonts w:ascii="Arial" w:eastAsia="DengXian Light" w:hAnsi="Arial" w:cs="Arial"/>
          <w:b/>
          <w:bCs/>
          <w:sz w:val="23"/>
          <w:szCs w:val="23"/>
        </w:rPr>
        <w:t>Renpenning</w:t>
      </w:r>
      <w:proofErr w:type="spellEnd"/>
    </w:p>
    <w:p w14:paraId="087D6A90" w14:textId="7651A895" w:rsidR="00CE707E" w:rsidRPr="00A27C6D" w:rsidRDefault="00CE707E">
      <w:pPr>
        <w:spacing w:after="0" w:line="312" w:lineRule="auto"/>
        <w:jc w:val="center"/>
        <w:rPr>
          <w:rFonts w:ascii="Arial" w:eastAsia="DengXian Light" w:hAnsi="Arial" w:cs="Arial"/>
          <w:b/>
          <w:bCs/>
          <w:sz w:val="23"/>
          <w:szCs w:val="23"/>
        </w:rPr>
      </w:pPr>
    </w:p>
    <w:p w14:paraId="35BD5BCF" w14:textId="41A1C9DB" w:rsidR="00A27C6D" w:rsidRDefault="00A27C6D">
      <w:pPr>
        <w:spacing w:after="0" w:line="312" w:lineRule="auto"/>
        <w:jc w:val="center"/>
        <w:rPr>
          <w:rFonts w:ascii="Arial" w:eastAsia="DengXian Light" w:hAnsi="Arial" w:cs="Arial"/>
          <w:b/>
          <w:bCs/>
          <w:sz w:val="10"/>
          <w:szCs w:val="10"/>
        </w:rPr>
      </w:pPr>
    </w:p>
    <w:p w14:paraId="76C9A262" w14:textId="77777777" w:rsidR="00110E8D" w:rsidRDefault="00110E8D">
      <w:pPr>
        <w:spacing w:after="0" w:line="312" w:lineRule="auto"/>
        <w:jc w:val="center"/>
        <w:rPr>
          <w:rFonts w:ascii="Arial" w:eastAsia="DengXian Light" w:hAnsi="Arial" w:cs="Arial"/>
          <w:b/>
          <w:bCs/>
          <w:sz w:val="10"/>
          <w:szCs w:val="10"/>
        </w:rPr>
      </w:pPr>
    </w:p>
    <w:p w14:paraId="2CE9921D" w14:textId="77777777" w:rsidR="00A27C6D" w:rsidRPr="00A27C6D" w:rsidRDefault="00A27C6D">
      <w:pPr>
        <w:spacing w:after="0" w:line="312" w:lineRule="auto"/>
        <w:jc w:val="center"/>
        <w:rPr>
          <w:rFonts w:ascii="Arial" w:eastAsia="DengXian Light" w:hAnsi="Arial" w:cs="Arial"/>
          <w:b/>
          <w:bCs/>
          <w:sz w:val="10"/>
          <w:szCs w:val="10"/>
        </w:rPr>
      </w:pPr>
    </w:p>
    <w:p w14:paraId="4E6DD1E1" w14:textId="77777777" w:rsidR="00CE707E" w:rsidRPr="00A27C6D" w:rsidRDefault="00CE707E">
      <w:pPr>
        <w:spacing w:after="0" w:line="312" w:lineRule="auto"/>
        <w:jc w:val="center"/>
        <w:rPr>
          <w:rFonts w:ascii="Arial" w:eastAsia="DengXian Light" w:hAnsi="Arial" w:cs="Arial"/>
          <w:b/>
          <w:bCs/>
          <w:sz w:val="23"/>
          <w:szCs w:val="23"/>
        </w:rPr>
      </w:pPr>
    </w:p>
    <w:p w14:paraId="66198E16" w14:textId="08702861" w:rsidR="00CE707E" w:rsidRPr="00A27C6D" w:rsidRDefault="00DD7BD0">
      <w:pPr>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José Alfredo Chávez                      </w:t>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w:t>
      </w:r>
      <w:r w:rsidR="00110E8D">
        <w:rPr>
          <w:rFonts w:ascii="Arial" w:eastAsia="DengXian Light" w:hAnsi="Arial" w:cs="Arial"/>
          <w:b/>
          <w:bCs/>
          <w:sz w:val="23"/>
          <w:szCs w:val="23"/>
        </w:rPr>
        <w:t xml:space="preserve">Carlos Arredondo Márquez </w:t>
      </w:r>
    </w:p>
    <w:p w14:paraId="7D6CCAAA" w14:textId="77777777" w:rsidR="00CE707E" w:rsidRPr="00A27C6D" w:rsidRDefault="00DD7BD0">
      <w:pPr>
        <w:spacing w:after="0" w:line="312" w:lineRule="auto"/>
        <w:rPr>
          <w:rFonts w:ascii="Arial" w:eastAsia="DengXian Light" w:hAnsi="Arial" w:cs="Arial"/>
          <w:b/>
          <w:sz w:val="23"/>
          <w:szCs w:val="23"/>
        </w:rPr>
      </w:pPr>
      <w:r w:rsidRPr="00A27C6D">
        <w:rPr>
          <w:rFonts w:ascii="Arial" w:eastAsia="DengXian Light" w:hAnsi="Arial" w:cs="Arial"/>
          <w:b/>
          <w:sz w:val="23"/>
          <w:szCs w:val="23"/>
        </w:rPr>
        <w:t xml:space="preserve">                             Madrid</w:t>
      </w:r>
    </w:p>
    <w:p w14:paraId="51A7D272" w14:textId="03CB4ADB" w:rsidR="00CE707E" w:rsidRDefault="00CE707E">
      <w:pPr>
        <w:spacing w:after="0" w:line="312" w:lineRule="auto"/>
        <w:rPr>
          <w:rFonts w:ascii="Arial" w:eastAsia="DengXian Light" w:hAnsi="Arial" w:cs="Arial"/>
          <w:b/>
          <w:sz w:val="23"/>
          <w:szCs w:val="23"/>
        </w:rPr>
      </w:pPr>
    </w:p>
    <w:p w14:paraId="2E412E77" w14:textId="3EF99945" w:rsidR="00CE707E" w:rsidRDefault="00CE707E">
      <w:pPr>
        <w:spacing w:after="0" w:line="312" w:lineRule="auto"/>
        <w:rPr>
          <w:rFonts w:ascii="Arial" w:eastAsia="DengXian Light" w:hAnsi="Arial" w:cs="Arial"/>
          <w:b/>
          <w:sz w:val="23"/>
          <w:szCs w:val="23"/>
        </w:rPr>
      </w:pPr>
    </w:p>
    <w:p w14:paraId="0879BF05" w14:textId="77777777" w:rsidR="00110E8D" w:rsidRPr="00A27C6D" w:rsidRDefault="00110E8D">
      <w:pPr>
        <w:spacing w:after="0" w:line="312" w:lineRule="auto"/>
        <w:rPr>
          <w:rFonts w:ascii="Arial" w:eastAsia="DengXian Light" w:hAnsi="Arial" w:cs="Arial"/>
          <w:b/>
          <w:sz w:val="23"/>
          <w:szCs w:val="23"/>
        </w:rPr>
      </w:pPr>
    </w:p>
    <w:p w14:paraId="15A056E9" w14:textId="024C2A26" w:rsidR="00CE707E" w:rsidRPr="00A27C6D" w:rsidRDefault="00DD7BD0">
      <w:pPr>
        <w:tabs>
          <w:tab w:val="left" w:pos="3060"/>
        </w:tabs>
        <w:spacing w:after="0" w:line="312" w:lineRule="auto"/>
        <w:jc w:val="center"/>
        <w:rPr>
          <w:rFonts w:ascii="Arial" w:hAnsi="Arial" w:cs="Arial"/>
          <w:b/>
          <w:bCs/>
          <w:sz w:val="23"/>
          <w:szCs w:val="23"/>
        </w:rPr>
      </w:pPr>
      <w:proofErr w:type="spellStart"/>
      <w:r w:rsidRPr="00A27C6D">
        <w:rPr>
          <w:rFonts w:ascii="Arial" w:eastAsia="DengXian Light" w:hAnsi="Arial" w:cs="Arial"/>
          <w:b/>
          <w:sz w:val="23"/>
          <w:szCs w:val="23"/>
        </w:rPr>
        <w:t>Dip</w:t>
      </w:r>
      <w:proofErr w:type="spellEnd"/>
      <w:r w:rsidRPr="00A27C6D">
        <w:rPr>
          <w:rFonts w:ascii="Arial" w:eastAsia="DengXian Light" w:hAnsi="Arial" w:cs="Arial"/>
          <w:b/>
          <w:sz w:val="23"/>
          <w:szCs w:val="23"/>
        </w:rPr>
        <w:t>. Georgina Alejandra Bujanda</w:t>
      </w:r>
      <w:r w:rsidRPr="00A27C6D">
        <w:rPr>
          <w:rFonts w:ascii="Arial" w:hAnsi="Arial" w:cs="Arial"/>
          <w:b/>
          <w:sz w:val="23"/>
          <w:szCs w:val="23"/>
        </w:rPr>
        <w:t xml:space="preserve"> </w:t>
      </w:r>
      <w:r w:rsidR="00110E8D">
        <w:rPr>
          <w:rFonts w:ascii="Arial" w:hAnsi="Arial" w:cs="Arial"/>
          <w:b/>
          <w:sz w:val="23"/>
          <w:szCs w:val="23"/>
        </w:rPr>
        <w:t xml:space="preserve">Ríos </w:t>
      </w:r>
      <w:r w:rsidRPr="00A27C6D">
        <w:rPr>
          <w:rFonts w:ascii="Arial" w:hAnsi="Arial" w:cs="Arial"/>
          <w:b/>
          <w:sz w:val="23"/>
          <w:szCs w:val="23"/>
        </w:rPr>
        <w:t xml:space="preserve"> </w:t>
      </w:r>
      <w:r w:rsidRPr="00A27C6D">
        <w:rPr>
          <w:rFonts w:ascii="Arial" w:eastAsia="DengXian Light" w:hAnsi="Arial" w:cs="Arial"/>
          <w:b/>
          <w:bCs/>
          <w:sz w:val="23"/>
          <w:szCs w:val="23"/>
        </w:rPr>
        <w:t xml:space="preserve">        </w:t>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w:t>
      </w:r>
      <w:r w:rsidR="00110E8D">
        <w:rPr>
          <w:rFonts w:ascii="Arial" w:eastAsia="DengXian Light" w:hAnsi="Arial" w:cs="Arial"/>
          <w:b/>
          <w:bCs/>
          <w:sz w:val="23"/>
          <w:szCs w:val="23"/>
        </w:rPr>
        <w:t xml:space="preserve">Alejandra Varela González </w:t>
      </w:r>
    </w:p>
    <w:p w14:paraId="47720FA7" w14:textId="1BB5EA65" w:rsidR="00CE707E" w:rsidRPr="00A27C6D" w:rsidRDefault="00DD7BD0" w:rsidP="00110E8D">
      <w:pPr>
        <w:tabs>
          <w:tab w:val="left" w:pos="3060"/>
        </w:tabs>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lastRenderedPageBreak/>
        <w:t>Dip</w:t>
      </w:r>
      <w:proofErr w:type="spellEnd"/>
      <w:r w:rsidRPr="00A27C6D">
        <w:rPr>
          <w:rFonts w:ascii="Arial" w:eastAsia="DengXian Light" w:hAnsi="Arial" w:cs="Arial"/>
          <w:b/>
          <w:bCs/>
          <w:sz w:val="23"/>
          <w:szCs w:val="23"/>
        </w:rPr>
        <w:t xml:space="preserve">. Marisela Terrazas Muñoz                </w:t>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Ismael Mario Rodríguez</w:t>
      </w:r>
    </w:p>
    <w:p w14:paraId="7DCF5959" w14:textId="77777777" w:rsidR="00CE707E" w:rsidRPr="00A27C6D" w:rsidRDefault="00DD7BD0">
      <w:pPr>
        <w:spacing w:after="0" w:line="312" w:lineRule="auto"/>
        <w:jc w:val="center"/>
        <w:rPr>
          <w:rFonts w:ascii="Arial" w:eastAsia="DengXian Light" w:hAnsi="Arial" w:cs="Arial"/>
          <w:b/>
          <w:bCs/>
          <w:sz w:val="23"/>
          <w:szCs w:val="23"/>
        </w:rPr>
      </w:pPr>
      <w:r w:rsidRPr="00A27C6D">
        <w:rPr>
          <w:rFonts w:ascii="Arial" w:eastAsia="DengXian Light" w:hAnsi="Arial" w:cs="Arial"/>
          <w:b/>
          <w:bCs/>
          <w:sz w:val="23"/>
          <w:szCs w:val="23"/>
        </w:rPr>
        <w:t xml:space="preserve">                                                                        Saldaña</w:t>
      </w:r>
    </w:p>
    <w:p w14:paraId="16A3A9D0" w14:textId="77777777" w:rsidR="00CE707E" w:rsidRPr="00A27C6D" w:rsidRDefault="00CE707E">
      <w:pPr>
        <w:spacing w:after="0" w:line="312" w:lineRule="auto"/>
        <w:jc w:val="center"/>
        <w:rPr>
          <w:rFonts w:ascii="Arial" w:eastAsia="DengXian Light" w:hAnsi="Arial" w:cs="Arial"/>
          <w:b/>
          <w:bCs/>
          <w:sz w:val="23"/>
          <w:szCs w:val="23"/>
        </w:rPr>
      </w:pPr>
    </w:p>
    <w:p w14:paraId="1FB65B6B" w14:textId="51FB3FD7" w:rsidR="00CE707E" w:rsidRPr="00A27C6D" w:rsidRDefault="00CE707E">
      <w:pPr>
        <w:spacing w:after="0" w:line="312" w:lineRule="auto"/>
        <w:jc w:val="center"/>
        <w:rPr>
          <w:rFonts w:ascii="Arial" w:eastAsia="DengXian Light" w:hAnsi="Arial" w:cs="Arial"/>
          <w:b/>
          <w:bCs/>
          <w:sz w:val="23"/>
          <w:szCs w:val="23"/>
        </w:rPr>
      </w:pPr>
    </w:p>
    <w:p w14:paraId="2ECCFF83" w14:textId="77777777" w:rsidR="00A27C6D" w:rsidRPr="00A27C6D" w:rsidRDefault="00A27C6D">
      <w:pPr>
        <w:spacing w:after="0" w:line="312" w:lineRule="auto"/>
        <w:jc w:val="center"/>
        <w:rPr>
          <w:rFonts w:ascii="Arial" w:eastAsia="DengXian Light" w:hAnsi="Arial" w:cs="Arial"/>
          <w:b/>
          <w:bCs/>
          <w:sz w:val="23"/>
          <w:szCs w:val="23"/>
        </w:rPr>
      </w:pPr>
    </w:p>
    <w:p w14:paraId="31DDDCF5" w14:textId="4D267DD7" w:rsidR="00CE707E" w:rsidRPr="00A27C6D" w:rsidRDefault="00DD7BD0">
      <w:pPr>
        <w:tabs>
          <w:tab w:val="center" w:pos="4560"/>
        </w:tabs>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w:t>
      </w:r>
      <w:r w:rsidR="00110E8D" w:rsidRPr="00110E8D">
        <w:rPr>
          <w:rFonts w:ascii="Arial" w:eastAsia="DengXian Light" w:hAnsi="Arial" w:cs="Arial"/>
          <w:b/>
          <w:bCs/>
          <w:sz w:val="23"/>
          <w:szCs w:val="23"/>
        </w:rPr>
        <w:t>Lucero Nieto Romero</w:t>
      </w:r>
      <w:r w:rsidRPr="00A27C6D">
        <w:rPr>
          <w:rFonts w:ascii="Arial" w:eastAsia="DengXian Light" w:hAnsi="Arial" w:cs="Arial"/>
          <w:b/>
          <w:bCs/>
          <w:sz w:val="23"/>
          <w:szCs w:val="23"/>
        </w:rPr>
        <w:t xml:space="preserve">                 </w:t>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Carla Yamileth Rivas</w:t>
      </w:r>
    </w:p>
    <w:p w14:paraId="2772689D" w14:textId="77777777" w:rsidR="00CE707E" w:rsidRPr="00A27C6D" w:rsidRDefault="00DD7BD0">
      <w:pPr>
        <w:tabs>
          <w:tab w:val="center" w:pos="4560"/>
        </w:tabs>
        <w:spacing w:after="0" w:line="312" w:lineRule="auto"/>
        <w:jc w:val="center"/>
        <w:rPr>
          <w:rFonts w:ascii="Arial" w:eastAsia="DengXian Light" w:hAnsi="Arial" w:cs="Arial"/>
          <w:b/>
          <w:bCs/>
          <w:sz w:val="23"/>
          <w:szCs w:val="23"/>
        </w:rPr>
      </w:pPr>
      <w:r w:rsidRPr="00A27C6D">
        <w:rPr>
          <w:rFonts w:ascii="Arial" w:eastAsia="DengXian Light" w:hAnsi="Arial" w:cs="Arial"/>
          <w:b/>
          <w:bCs/>
          <w:sz w:val="23"/>
          <w:szCs w:val="23"/>
        </w:rPr>
        <w:t xml:space="preserve">                                                                 Martínez</w:t>
      </w:r>
    </w:p>
    <w:p w14:paraId="6B241F0E" w14:textId="77777777" w:rsidR="00CE707E" w:rsidRPr="00A27C6D" w:rsidRDefault="00DD7BD0">
      <w:pPr>
        <w:tabs>
          <w:tab w:val="left" w:pos="1455"/>
        </w:tabs>
        <w:spacing w:after="0" w:line="312" w:lineRule="auto"/>
        <w:jc w:val="center"/>
        <w:rPr>
          <w:rFonts w:ascii="Arial" w:eastAsia="DengXian Light" w:hAnsi="Arial" w:cs="Arial"/>
          <w:b/>
          <w:bCs/>
          <w:sz w:val="23"/>
          <w:szCs w:val="23"/>
        </w:rPr>
      </w:pPr>
      <w:r w:rsidRPr="00A27C6D">
        <w:rPr>
          <w:rFonts w:ascii="Arial" w:eastAsia="DengXian Light" w:hAnsi="Arial" w:cs="Arial"/>
          <w:b/>
          <w:bCs/>
          <w:sz w:val="23"/>
          <w:szCs w:val="23"/>
        </w:rPr>
        <w:t xml:space="preserve">                                                                </w:t>
      </w:r>
    </w:p>
    <w:p w14:paraId="1CEDDB78" w14:textId="77777777" w:rsidR="00A27C6D" w:rsidRPr="00A27C6D" w:rsidRDefault="00A27C6D">
      <w:pPr>
        <w:spacing w:after="0" w:line="312" w:lineRule="auto"/>
        <w:jc w:val="center"/>
        <w:rPr>
          <w:rFonts w:ascii="Arial" w:eastAsia="DengXian Light" w:hAnsi="Arial" w:cs="Arial"/>
          <w:b/>
          <w:bCs/>
          <w:sz w:val="23"/>
          <w:szCs w:val="23"/>
        </w:rPr>
      </w:pPr>
    </w:p>
    <w:p w14:paraId="187DD526" w14:textId="77777777" w:rsidR="00CE707E" w:rsidRPr="00A27C6D" w:rsidRDefault="00CE707E">
      <w:pPr>
        <w:spacing w:after="0" w:line="312" w:lineRule="auto"/>
        <w:jc w:val="center"/>
        <w:rPr>
          <w:rFonts w:ascii="Arial" w:eastAsia="DengXian Light" w:hAnsi="Arial" w:cs="Arial"/>
          <w:b/>
          <w:bCs/>
          <w:sz w:val="23"/>
          <w:szCs w:val="23"/>
        </w:rPr>
      </w:pPr>
    </w:p>
    <w:p w14:paraId="2E66DD49" w14:textId="77777777" w:rsidR="00CE707E" w:rsidRPr="00A27C6D" w:rsidRDefault="00DD7BD0">
      <w:pPr>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Diana Ivette Pereda Gutiérrez            </w:t>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Luis Alberto Aguilar</w:t>
      </w:r>
    </w:p>
    <w:p w14:paraId="3B440220" w14:textId="77777777" w:rsidR="00CE707E" w:rsidRPr="00A27C6D" w:rsidRDefault="00DD7BD0">
      <w:pPr>
        <w:spacing w:after="0" w:line="312" w:lineRule="auto"/>
        <w:jc w:val="center"/>
        <w:rPr>
          <w:rFonts w:ascii="Arial" w:eastAsia="DengXian Light" w:hAnsi="Arial" w:cs="Arial"/>
          <w:b/>
          <w:bCs/>
          <w:sz w:val="23"/>
          <w:szCs w:val="23"/>
        </w:rPr>
      </w:pPr>
      <w:r w:rsidRPr="00A27C6D">
        <w:rPr>
          <w:rFonts w:ascii="Arial" w:eastAsia="DengXian Light" w:hAnsi="Arial" w:cs="Arial"/>
          <w:b/>
          <w:bCs/>
          <w:sz w:val="23"/>
          <w:szCs w:val="23"/>
        </w:rPr>
        <w:t xml:space="preserve">                                                                       Lozoya</w:t>
      </w:r>
    </w:p>
    <w:p w14:paraId="3B125FD7" w14:textId="77777777" w:rsidR="00CE707E" w:rsidRPr="00A27C6D" w:rsidRDefault="00CE707E">
      <w:pPr>
        <w:spacing w:after="0" w:line="312" w:lineRule="auto"/>
        <w:jc w:val="center"/>
        <w:rPr>
          <w:rFonts w:ascii="Arial" w:eastAsia="DengXian Light" w:hAnsi="Arial" w:cs="Arial"/>
          <w:b/>
          <w:bCs/>
          <w:sz w:val="23"/>
          <w:szCs w:val="23"/>
        </w:rPr>
      </w:pPr>
    </w:p>
    <w:p w14:paraId="4AF38941" w14:textId="6C0940EA" w:rsidR="00CE707E" w:rsidRPr="00A27C6D" w:rsidRDefault="00CE707E">
      <w:pPr>
        <w:spacing w:after="0" w:line="312" w:lineRule="auto"/>
        <w:jc w:val="center"/>
        <w:rPr>
          <w:rFonts w:ascii="Arial" w:eastAsia="DengXian Light" w:hAnsi="Arial" w:cs="Arial"/>
          <w:b/>
          <w:bCs/>
          <w:sz w:val="23"/>
          <w:szCs w:val="23"/>
        </w:rPr>
      </w:pPr>
    </w:p>
    <w:p w14:paraId="3A0C454C" w14:textId="77777777" w:rsidR="00A27C6D" w:rsidRPr="00A27C6D" w:rsidRDefault="00A27C6D">
      <w:pPr>
        <w:spacing w:after="0" w:line="312" w:lineRule="auto"/>
        <w:jc w:val="center"/>
        <w:rPr>
          <w:rFonts w:ascii="Arial" w:eastAsia="DengXian Light" w:hAnsi="Arial" w:cs="Arial"/>
          <w:b/>
          <w:bCs/>
          <w:sz w:val="23"/>
          <w:szCs w:val="23"/>
        </w:rPr>
      </w:pPr>
    </w:p>
    <w:p w14:paraId="7BE56DC2" w14:textId="77777777" w:rsidR="00CE707E" w:rsidRPr="00A27C6D" w:rsidRDefault="00CE707E">
      <w:pPr>
        <w:spacing w:after="0" w:line="312" w:lineRule="auto"/>
        <w:jc w:val="center"/>
        <w:rPr>
          <w:rFonts w:ascii="Arial" w:eastAsia="DengXian Light" w:hAnsi="Arial" w:cs="Arial"/>
          <w:b/>
          <w:bCs/>
          <w:sz w:val="23"/>
          <w:szCs w:val="23"/>
        </w:rPr>
      </w:pPr>
    </w:p>
    <w:p w14:paraId="2BB0A1F1" w14:textId="753449AF" w:rsidR="00CE707E" w:rsidRPr="00A27C6D" w:rsidRDefault="00273772">
      <w:pPr>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Carlos García Morales       </w:t>
      </w:r>
      <w:proofErr w:type="spellStart"/>
      <w:r w:rsidR="00DD7BD0" w:rsidRPr="00A27C6D">
        <w:rPr>
          <w:rFonts w:ascii="Arial" w:eastAsia="DengXian Light" w:hAnsi="Arial" w:cs="Arial"/>
          <w:b/>
          <w:bCs/>
          <w:sz w:val="23"/>
          <w:szCs w:val="23"/>
        </w:rPr>
        <w:t>Dip</w:t>
      </w:r>
      <w:proofErr w:type="spellEnd"/>
      <w:r w:rsidR="00DD7BD0" w:rsidRPr="00A27C6D">
        <w:rPr>
          <w:rFonts w:ascii="Arial" w:eastAsia="DengXian Light" w:hAnsi="Arial" w:cs="Arial"/>
          <w:b/>
          <w:bCs/>
          <w:sz w:val="23"/>
          <w:szCs w:val="23"/>
        </w:rPr>
        <w:t>. Gabriel Ángel García Cantú</w:t>
      </w:r>
    </w:p>
    <w:p w14:paraId="324154C5" w14:textId="77777777" w:rsidR="00CE707E" w:rsidRPr="00A27C6D" w:rsidRDefault="00DD7BD0">
      <w:pPr>
        <w:tabs>
          <w:tab w:val="left" w:pos="2540"/>
        </w:tabs>
        <w:spacing w:after="0" w:line="312" w:lineRule="auto"/>
        <w:jc w:val="center"/>
        <w:rPr>
          <w:rFonts w:ascii="Arial" w:eastAsia="DengXian Light" w:hAnsi="Arial" w:cs="Arial"/>
          <w:b/>
          <w:bCs/>
          <w:sz w:val="23"/>
          <w:szCs w:val="23"/>
        </w:rPr>
      </w:pPr>
      <w:r w:rsidRPr="00A27C6D">
        <w:rPr>
          <w:rFonts w:ascii="Arial" w:eastAsia="DengXian Light" w:hAnsi="Arial" w:cs="Arial"/>
          <w:b/>
          <w:bCs/>
          <w:sz w:val="23"/>
          <w:szCs w:val="23"/>
        </w:rPr>
        <w:t xml:space="preserve">                                                               Huitrón</w:t>
      </w:r>
    </w:p>
    <w:p w14:paraId="0F5DE894" w14:textId="77777777" w:rsidR="00CE707E" w:rsidRPr="00A27C6D" w:rsidRDefault="00CE707E">
      <w:pPr>
        <w:spacing w:after="0" w:line="312" w:lineRule="auto"/>
        <w:jc w:val="center"/>
        <w:rPr>
          <w:rFonts w:ascii="Arial" w:eastAsia="DengXian Light" w:hAnsi="Arial" w:cs="Arial"/>
          <w:b/>
          <w:bCs/>
          <w:sz w:val="23"/>
          <w:szCs w:val="23"/>
        </w:rPr>
      </w:pPr>
    </w:p>
    <w:p w14:paraId="20B03588" w14:textId="77777777" w:rsidR="00CE707E" w:rsidRPr="00A27C6D" w:rsidRDefault="00CE707E">
      <w:pPr>
        <w:spacing w:after="0" w:line="312" w:lineRule="auto"/>
        <w:jc w:val="center"/>
        <w:rPr>
          <w:rFonts w:ascii="Arial" w:eastAsia="DengXian Light" w:hAnsi="Arial" w:cs="Arial"/>
          <w:b/>
          <w:bCs/>
          <w:sz w:val="23"/>
          <w:szCs w:val="23"/>
        </w:rPr>
      </w:pPr>
    </w:p>
    <w:p w14:paraId="23026BFD" w14:textId="77777777" w:rsidR="00CE707E" w:rsidRPr="00A27C6D" w:rsidRDefault="00CE707E">
      <w:pPr>
        <w:spacing w:after="0" w:line="312" w:lineRule="auto"/>
        <w:jc w:val="center"/>
        <w:rPr>
          <w:rFonts w:ascii="Arial" w:eastAsia="DengXian Light" w:hAnsi="Arial" w:cs="Arial"/>
          <w:b/>
          <w:bCs/>
          <w:sz w:val="23"/>
          <w:szCs w:val="23"/>
        </w:rPr>
      </w:pPr>
    </w:p>
    <w:p w14:paraId="2EF58AA0" w14:textId="77777777" w:rsidR="00CE707E" w:rsidRPr="00A27C6D" w:rsidRDefault="00DD7BD0">
      <w:pPr>
        <w:spacing w:after="0" w:line="312" w:lineRule="auto"/>
        <w:jc w:val="center"/>
        <w:rPr>
          <w:rFonts w:ascii="Arial" w:eastAsia="DengXian Light" w:hAnsi="Arial" w:cs="Arial"/>
          <w:b/>
          <w:bCs/>
          <w:sz w:val="23"/>
          <w:szCs w:val="23"/>
        </w:rPr>
      </w:pP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xml:space="preserve">. Carlos Alfredo Olson           </w:t>
      </w:r>
      <w:r w:rsidRPr="00A27C6D">
        <w:rPr>
          <w:rFonts w:ascii="Arial" w:eastAsia="DengXian Light" w:hAnsi="Arial" w:cs="Arial"/>
          <w:b/>
          <w:bCs/>
          <w:sz w:val="23"/>
          <w:szCs w:val="23"/>
        </w:rPr>
        <w:tab/>
      </w:r>
      <w:proofErr w:type="spellStart"/>
      <w:r w:rsidRPr="00A27C6D">
        <w:rPr>
          <w:rFonts w:ascii="Arial" w:eastAsia="DengXian Light" w:hAnsi="Arial" w:cs="Arial"/>
          <w:b/>
          <w:bCs/>
          <w:sz w:val="23"/>
          <w:szCs w:val="23"/>
        </w:rPr>
        <w:t>Dip</w:t>
      </w:r>
      <w:proofErr w:type="spellEnd"/>
      <w:r w:rsidRPr="00A27C6D">
        <w:rPr>
          <w:rFonts w:ascii="Arial" w:eastAsia="DengXian Light" w:hAnsi="Arial" w:cs="Arial"/>
          <w:b/>
          <w:bCs/>
          <w:sz w:val="23"/>
          <w:szCs w:val="23"/>
        </w:rPr>
        <w:t>.  Ismael Pérez Pavía</w:t>
      </w:r>
    </w:p>
    <w:p w14:paraId="1CD3DB11" w14:textId="77777777" w:rsidR="00CE707E" w:rsidRPr="00A27C6D" w:rsidRDefault="00DD7BD0">
      <w:pPr>
        <w:tabs>
          <w:tab w:val="left" w:pos="2600"/>
        </w:tabs>
        <w:spacing w:after="0" w:line="312" w:lineRule="auto"/>
        <w:rPr>
          <w:rFonts w:ascii="Arial" w:eastAsia="DengXian Light" w:hAnsi="Arial" w:cs="Arial"/>
          <w:b/>
          <w:bCs/>
          <w:sz w:val="23"/>
          <w:szCs w:val="23"/>
        </w:rPr>
      </w:pPr>
      <w:r w:rsidRPr="00A27C6D">
        <w:rPr>
          <w:rFonts w:ascii="Arial" w:eastAsia="DengXian Light" w:hAnsi="Arial" w:cs="Arial"/>
          <w:b/>
          <w:bCs/>
          <w:sz w:val="23"/>
          <w:szCs w:val="23"/>
        </w:rPr>
        <w:t xml:space="preserve">                         San Vicente</w:t>
      </w:r>
    </w:p>
    <w:p w14:paraId="0687E4D6" w14:textId="77777777" w:rsidR="00CE707E" w:rsidRDefault="00DD7BD0">
      <w:pPr>
        <w:spacing w:before="240" w:after="120" w:line="312" w:lineRule="auto"/>
        <w:jc w:val="both"/>
        <w:rPr>
          <w:rFonts w:ascii="Arial" w:hAnsi="Arial" w:cs="Arial"/>
          <w:b/>
          <w:bCs/>
          <w:sz w:val="24"/>
          <w:szCs w:val="24"/>
        </w:rPr>
      </w:pPr>
      <w:r>
        <w:rPr>
          <w:rFonts w:ascii="Arial" w:eastAsia="DengXian Light" w:hAnsi="Arial" w:cs="Arial"/>
          <w:b/>
          <w:bCs/>
          <w:noProof/>
        </w:rPr>
        <w:drawing>
          <wp:anchor distT="0" distB="0" distL="114300" distR="114300" simplePos="0" relativeHeight="251661312" behindDoc="1" locked="0" layoutInCell="1" allowOverlap="1" wp14:anchorId="379845EB" wp14:editId="67BF1445">
            <wp:simplePos x="0" y="0"/>
            <wp:positionH relativeFrom="margin">
              <wp:align>center</wp:align>
            </wp:positionH>
            <wp:positionV relativeFrom="paragraph">
              <wp:posOffset>199390</wp:posOffset>
            </wp:positionV>
            <wp:extent cx="6344285" cy="8572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44285" cy="857250"/>
                    </a:xfrm>
                    <a:prstGeom prst="rect">
                      <a:avLst/>
                    </a:prstGeom>
                    <a:noFill/>
                  </pic:spPr>
                </pic:pic>
              </a:graphicData>
            </a:graphic>
          </wp:anchor>
        </w:drawing>
      </w:r>
      <w:r>
        <w:rPr>
          <w:rFonts w:ascii="Arial" w:eastAsia="DengXian Light" w:hAnsi="Arial" w:cs="Arial"/>
          <w:b/>
          <w:bCs/>
          <w:sz w:val="24"/>
          <w:szCs w:val="24"/>
        </w:rPr>
        <w:t xml:space="preserve">                                         </w:t>
      </w:r>
      <w:hyperlink r:id="rId11" w:history="1">
        <w:r>
          <w:rPr>
            <w:rFonts w:ascii="Arial" w:eastAsia="DengXian Light" w:hAnsi="Arial" w:cs="Arial"/>
            <w:b/>
            <w:bCs/>
            <w:sz w:val="24"/>
            <w:szCs w:val="24"/>
          </w:rPr>
          <w:t xml:space="preserve"> </w:t>
        </w:r>
      </w:hyperlink>
      <w:r>
        <w:rPr>
          <w:rFonts w:ascii="Arial" w:eastAsia="DengXian Light" w:hAnsi="Arial" w:cs="Arial"/>
          <w:b/>
          <w:bCs/>
          <w:sz w:val="24"/>
          <w:szCs w:val="24"/>
        </w:rPr>
        <w:t xml:space="preserve">                                                   </w:t>
      </w:r>
    </w:p>
    <w:sectPr w:rsidR="00CE707E">
      <w:headerReference w:type="default" r:id="rId12"/>
      <w:footerReference w:type="default" r:id="rId13"/>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3AFE" w14:textId="77777777" w:rsidR="003C0C1C" w:rsidRDefault="003C0C1C">
      <w:pPr>
        <w:spacing w:line="240" w:lineRule="auto"/>
      </w:pPr>
      <w:r>
        <w:separator/>
      </w:r>
    </w:p>
  </w:endnote>
  <w:endnote w:type="continuationSeparator" w:id="0">
    <w:p w14:paraId="27044536" w14:textId="77777777" w:rsidR="003C0C1C" w:rsidRDefault="003C0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sdtPr>
    <w:sdtEndPr>
      <w:rPr>
        <w:rFonts w:ascii="Arial" w:hAnsi="Arial" w:cs="Arial"/>
        <w:sz w:val="20"/>
        <w:szCs w:val="20"/>
      </w:rPr>
    </w:sdtEndPr>
    <w:sdtContent>
      <w:p w14:paraId="417EE3AA" w14:textId="77777777" w:rsidR="00CE707E" w:rsidRDefault="00DD7BD0">
        <w:pPr>
          <w:pStyle w:val="Piedepgina"/>
          <w:jc w:val="right"/>
          <w:rPr>
            <w:rFonts w:ascii="Arial" w:hAnsi="Arial" w:cs="Arial"/>
            <w:sz w:val="20"/>
            <w:szCs w:val="20"/>
          </w:rPr>
        </w:pP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sz w:val="18"/>
            <w:szCs w:val="18"/>
            <w:lang w:val="es-ES"/>
          </w:rPr>
          <w:t>12</w:t>
        </w:r>
        <w:r>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5A56" w14:textId="77777777" w:rsidR="003C0C1C" w:rsidRDefault="003C0C1C">
      <w:pPr>
        <w:spacing w:after="0"/>
      </w:pPr>
      <w:r>
        <w:separator/>
      </w:r>
    </w:p>
  </w:footnote>
  <w:footnote w:type="continuationSeparator" w:id="0">
    <w:p w14:paraId="3E858131" w14:textId="77777777" w:rsidR="003C0C1C" w:rsidRDefault="003C0C1C">
      <w:pPr>
        <w:spacing w:after="0"/>
      </w:pPr>
      <w:r>
        <w:continuationSeparator/>
      </w:r>
    </w:p>
  </w:footnote>
  <w:footnote w:id="1">
    <w:p w14:paraId="03E37245" w14:textId="77777777" w:rsidR="00CE707E" w:rsidRDefault="00DD7BD0">
      <w:pPr>
        <w:pStyle w:val="Textonotapie"/>
      </w:pPr>
      <w:r>
        <w:rPr>
          <w:rStyle w:val="Refdenotaalpie"/>
        </w:rPr>
        <w:footnoteRef/>
      </w:r>
      <w:r>
        <w:t xml:space="preserve"> SEGUNDO INFORME DE ACTIVIDADES DE GOBIERNO DEL ESTADO DE CHIHUAHUA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485B" w14:textId="77777777" w:rsidR="00CE707E" w:rsidRDefault="00CE707E">
    <w:pPr>
      <w:pStyle w:val="Encabezado"/>
    </w:pPr>
  </w:p>
  <w:p w14:paraId="22CFBDA0" w14:textId="77777777" w:rsidR="00CE707E" w:rsidRDefault="00CE707E">
    <w:pPr>
      <w:jc w:val="right"/>
      <w:rPr>
        <w:rFonts w:ascii="Arial" w:hAnsi="Arial" w:cs="Arial"/>
      </w:rPr>
    </w:pPr>
  </w:p>
  <w:p w14:paraId="16AA72A0" w14:textId="77777777" w:rsidR="00CE707E" w:rsidRDefault="00CE707E">
    <w:pPr>
      <w:jc w:val="right"/>
      <w:rPr>
        <w:rFonts w:ascii="Calibri Light" w:hAnsi="Calibri Light" w:cs="Calibri Light"/>
        <w:i/>
        <w:iCs/>
      </w:rPr>
    </w:pPr>
  </w:p>
  <w:p w14:paraId="23FC3340" w14:textId="77777777" w:rsidR="00CE707E" w:rsidRDefault="00DD7BD0">
    <w:pPr>
      <w:jc w:val="right"/>
      <w:rPr>
        <w:rFonts w:ascii="Calibri Light" w:hAnsi="Calibri Light" w:cs="Calibri Light"/>
        <w:i/>
        <w:iCs/>
      </w:rPr>
    </w:pPr>
    <w:r>
      <w:rPr>
        <w:rFonts w:ascii="Calibri Light" w:hAnsi="Calibri Light" w:cs="Calibri Light"/>
        <w:i/>
        <w:iCs/>
      </w:rPr>
      <w:t>“2024, Año del Bicentenario de la fundación del Estado de Chihuahua”</w:t>
    </w:r>
  </w:p>
  <w:p w14:paraId="1D46F0E6" w14:textId="77777777" w:rsidR="00CE707E" w:rsidRDefault="00CE707E">
    <w:pPr>
      <w:jc w:val="right"/>
      <w:rPr>
        <w:rFonts w:ascii="Calibri Light" w:hAnsi="Calibri Light" w:cs="Calibri Light"/>
        <w:i/>
        <w:iCs/>
      </w:rPr>
    </w:pPr>
  </w:p>
  <w:p w14:paraId="45946871" w14:textId="77777777" w:rsidR="00CE707E" w:rsidRDefault="00CE707E">
    <w:pPr>
      <w:jc w:val="right"/>
      <w:rPr>
        <w:rFonts w:ascii="Calibri Light" w:hAnsi="Calibri Light" w:cs="Calibri Light"/>
        <w:i/>
        <w:iCs/>
      </w:rPr>
    </w:pPr>
  </w:p>
  <w:p w14:paraId="69779C6D" w14:textId="77777777" w:rsidR="00CE707E" w:rsidRDefault="00CE707E">
    <w:pPr>
      <w:jc w:val="right"/>
      <w:rPr>
        <w:rFonts w:ascii="Calibri Light" w:hAnsi="Calibri Light" w:cs="Calibri Light"/>
        <w:i/>
        <w:iCs/>
      </w:rPr>
    </w:pPr>
  </w:p>
  <w:p w14:paraId="2CB8F896" w14:textId="77777777" w:rsidR="00CE707E" w:rsidRDefault="00CE707E">
    <w:pPr>
      <w:jc w:val="right"/>
      <w:rPr>
        <w:rFonts w:ascii="Calibri Light" w:hAnsi="Calibri Light" w:cs="Calibri Light"/>
        <w:i/>
        <w:iCs/>
        <w:sz w:val="10"/>
        <w:szCs w:val="10"/>
      </w:rPr>
    </w:pPr>
  </w:p>
  <w:p w14:paraId="4F25570D" w14:textId="499BEF08" w:rsidR="00CE707E" w:rsidRDefault="00CE707E">
    <w:pPr>
      <w:jc w:val="right"/>
      <w:rPr>
        <w:rFonts w:ascii="Calibri Light" w:hAnsi="Calibri Light" w:cs="Calibri Light"/>
        <w:i/>
        <w:iCs/>
      </w:rPr>
    </w:pPr>
  </w:p>
  <w:p w14:paraId="7E2DEE0E" w14:textId="77777777" w:rsidR="00A27C6D" w:rsidRDefault="00A27C6D">
    <w:pPr>
      <w:jc w:val="right"/>
      <w:rPr>
        <w:rFonts w:ascii="Calibri Light" w:hAnsi="Calibri Light" w:cs="Calibri Light"/>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2E37"/>
    <w:multiLevelType w:val="multilevel"/>
    <w:tmpl w:val="0FC52E37"/>
    <w:lvl w:ilvl="0">
      <w:numFmt w:val="bullet"/>
      <w:lvlText w:val="-"/>
      <w:lvlJc w:val="left"/>
      <w:pPr>
        <w:ind w:left="720" w:hanging="360"/>
      </w:pPr>
      <w:rPr>
        <w:rFonts w:ascii="Arial" w:eastAsia="FangSo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B56708C"/>
    <w:multiLevelType w:val="multilevel"/>
    <w:tmpl w:val="4B5670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494EB9"/>
    <w:multiLevelType w:val="multilevel"/>
    <w:tmpl w:val="57494EB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1A88"/>
    <w:rsid w:val="000C2158"/>
    <w:rsid w:val="000C225E"/>
    <w:rsid w:val="000C47C5"/>
    <w:rsid w:val="000C4835"/>
    <w:rsid w:val="000C48B5"/>
    <w:rsid w:val="000D0AFD"/>
    <w:rsid w:val="000D1231"/>
    <w:rsid w:val="000D182A"/>
    <w:rsid w:val="000D320E"/>
    <w:rsid w:val="000D4ACC"/>
    <w:rsid w:val="000D5138"/>
    <w:rsid w:val="000D5A00"/>
    <w:rsid w:val="000D6022"/>
    <w:rsid w:val="000D614E"/>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62D2"/>
    <w:rsid w:val="001074FD"/>
    <w:rsid w:val="00107EE8"/>
    <w:rsid w:val="00110E8D"/>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0BA"/>
    <w:rsid w:val="00154468"/>
    <w:rsid w:val="00154BD9"/>
    <w:rsid w:val="0016025E"/>
    <w:rsid w:val="00160B67"/>
    <w:rsid w:val="00161322"/>
    <w:rsid w:val="00163B0A"/>
    <w:rsid w:val="001640CE"/>
    <w:rsid w:val="00164E1F"/>
    <w:rsid w:val="001675E8"/>
    <w:rsid w:val="00172619"/>
    <w:rsid w:val="00172CF2"/>
    <w:rsid w:val="00172EB5"/>
    <w:rsid w:val="0017337D"/>
    <w:rsid w:val="001745DC"/>
    <w:rsid w:val="00177C1B"/>
    <w:rsid w:val="00177C2A"/>
    <w:rsid w:val="00180EB1"/>
    <w:rsid w:val="00182061"/>
    <w:rsid w:val="0018415D"/>
    <w:rsid w:val="00185D52"/>
    <w:rsid w:val="00185EB7"/>
    <w:rsid w:val="00186CDC"/>
    <w:rsid w:val="00187665"/>
    <w:rsid w:val="00187A3D"/>
    <w:rsid w:val="00190A13"/>
    <w:rsid w:val="00191EBE"/>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27DC"/>
    <w:rsid w:val="001E42E1"/>
    <w:rsid w:val="001E4D0B"/>
    <w:rsid w:val="001E5104"/>
    <w:rsid w:val="001E7663"/>
    <w:rsid w:val="001F07DF"/>
    <w:rsid w:val="001F3173"/>
    <w:rsid w:val="001F3808"/>
    <w:rsid w:val="001F3BDC"/>
    <w:rsid w:val="00203D62"/>
    <w:rsid w:val="00205A7A"/>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981"/>
    <w:rsid w:val="00230CA5"/>
    <w:rsid w:val="0023178E"/>
    <w:rsid w:val="002326B9"/>
    <w:rsid w:val="00232EF5"/>
    <w:rsid w:val="00233418"/>
    <w:rsid w:val="002334DA"/>
    <w:rsid w:val="0023581D"/>
    <w:rsid w:val="00235EAE"/>
    <w:rsid w:val="0023649A"/>
    <w:rsid w:val="002367C3"/>
    <w:rsid w:val="00237294"/>
    <w:rsid w:val="002378E8"/>
    <w:rsid w:val="002414EE"/>
    <w:rsid w:val="00245F6E"/>
    <w:rsid w:val="00246C2A"/>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3772"/>
    <w:rsid w:val="00274ACA"/>
    <w:rsid w:val="00275B4C"/>
    <w:rsid w:val="00280DC9"/>
    <w:rsid w:val="00281A27"/>
    <w:rsid w:val="00282B37"/>
    <w:rsid w:val="002835CD"/>
    <w:rsid w:val="00283E39"/>
    <w:rsid w:val="00284E4A"/>
    <w:rsid w:val="002855FC"/>
    <w:rsid w:val="0028764B"/>
    <w:rsid w:val="00291172"/>
    <w:rsid w:val="0029202D"/>
    <w:rsid w:val="00292131"/>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2065"/>
    <w:rsid w:val="002B2CF7"/>
    <w:rsid w:val="002B3A69"/>
    <w:rsid w:val="002B3DA7"/>
    <w:rsid w:val="002B48D4"/>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AA7"/>
    <w:rsid w:val="00327638"/>
    <w:rsid w:val="0033022E"/>
    <w:rsid w:val="00330F20"/>
    <w:rsid w:val="00332015"/>
    <w:rsid w:val="003320D3"/>
    <w:rsid w:val="00332390"/>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4080"/>
    <w:rsid w:val="00385CEE"/>
    <w:rsid w:val="00385F85"/>
    <w:rsid w:val="00385F90"/>
    <w:rsid w:val="00386384"/>
    <w:rsid w:val="00390F85"/>
    <w:rsid w:val="003916EB"/>
    <w:rsid w:val="00392600"/>
    <w:rsid w:val="00392C2C"/>
    <w:rsid w:val="00393898"/>
    <w:rsid w:val="00393F8A"/>
    <w:rsid w:val="0039663F"/>
    <w:rsid w:val="00396F9F"/>
    <w:rsid w:val="00397A9A"/>
    <w:rsid w:val="003A193F"/>
    <w:rsid w:val="003A38BC"/>
    <w:rsid w:val="003A4598"/>
    <w:rsid w:val="003A63C4"/>
    <w:rsid w:val="003A68AB"/>
    <w:rsid w:val="003A7807"/>
    <w:rsid w:val="003B028D"/>
    <w:rsid w:val="003B0E13"/>
    <w:rsid w:val="003B1EBE"/>
    <w:rsid w:val="003B2004"/>
    <w:rsid w:val="003B2EA7"/>
    <w:rsid w:val="003B383C"/>
    <w:rsid w:val="003B7525"/>
    <w:rsid w:val="003C04A7"/>
    <w:rsid w:val="003C0C1C"/>
    <w:rsid w:val="003C0CB1"/>
    <w:rsid w:val="003C1678"/>
    <w:rsid w:val="003C2ADE"/>
    <w:rsid w:val="003C4A54"/>
    <w:rsid w:val="003C4D59"/>
    <w:rsid w:val="003C6655"/>
    <w:rsid w:val="003C67CB"/>
    <w:rsid w:val="003C70FE"/>
    <w:rsid w:val="003D29CA"/>
    <w:rsid w:val="003D438E"/>
    <w:rsid w:val="003D4726"/>
    <w:rsid w:val="003D4B18"/>
    <w:rsid w:val="003D552F"/>
    <w:rsid w:val="003D55A6"/>
    <w:rsid w:val="003D79AF"/>
    <w:rsid w:val="003D7D2F"/>
    <w:rsid w:val="003E1B21"/>
    <w:rsid w:val="003E4F7F"/>
    <w:rsid w:val="003E61DE"/>
    <w:rsid w:val="003E62A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58B3"/>
    <w:rsid w:val="00456D54"/>
    <w:rsid w:val="00460049"/>
    <w:rsid w:val="00462398"/>
    <w:rsid w:val="00462C28"/>
    <w:rsid w:val="00464F4B"/>
    <w:rsid w:val="004650AD"/>
    <w:rsid w:val="00465706"/>
    <w:rsid w:val="00465F02"/>
    <w:rsid w:val="004707E6"/>
    <w:rsid w:val="00471F1F"/>
    <w:rsid w:val="00472FF2"/>
    <w:rsid w:val="00474647"/>
    <w:rsid w:val="00474F5A"/>
    <w:rsid w:val="00475210"/>
    <w:rsid w:val="004768A7"/>
    <w:rsid w:val="0048028E"/>
    <w:rsid w:val="0048050B"/>
    <w:rsid w:val="00480FE6"/>
    <w:rsid w:val="00481E94"/>
    <w:rsid w:val="00487D0A"/>
    <w:rsid w:val="00491073"/>
    <w:rsid w:val="00491A3C"/>
    <w:rsid w:val="00491B5D"/>
    <w:rsid w:val="00494078"/>
    <w:rsid w:val="00494190"/>
    <w:rsid w:val="004966A8"/>
    <w:rsid w:val="00497CC4"/>
    <w:rsid w:val="004A0C77"/>
    <w:rsid w:val="004A1783"/>
    <w:rsid w:val="004A17BD"/>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D51"/>
    <w:rsid w:val="004E33BE"/>
    <w:rsid w:val="004E340E"/>
    <w:rsid w:val="004E3BBE"/>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10360"/>
    <w:rsid w:val="0051135E"/>
    <w:rsid w:val="00511572"/>
    <w:rsid w:val="00512737"/>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F05"/>
    <w:rsid w:val="005A45E6"/>
    <w:rsid w:val="005A5A15"/>
    <w:rsid w:val="005A5C9C"/>
    <w:rsid w:val="005A69BB"/>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5A29"/>
    <w:rsid w:val="005F7041"/>
    <w:rsid w:val="005F736C"/>
    <w:rsid w:val="005F78F5"/>
    <w:rsid w:val="005F7E67"/>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2A91"/>
    <w:rsid w:val="00642AD0"/>
    <w:rsid w:val="006431A1"/>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71CA"/>
    <w:rsid w:val="006815BF"/>
    <w:rsid w:val="00681C25"/>
    <w:rsid w:val="00683338"/>
    <w:rsid w:val="00684592"/>
    <w:rsid w:val="0068488C"/>
    <w:rsid w:val="00684A58"/>
    <w:rsid w:val="00686391"/>
    <w:rsid w:val="006877CE"/>
    <w:rsid w:val="006928A4"/>
    <w:rsid w:val="00692975"/>
    <w:rsid w:val="00694C45"/>
    <w:rsid w:val="00696A6B"/>
    <w:rsid w:val="00696C63"/>
    <w:rsid w:val="00696D83"/>
    <w:rsid w:val="0069746A"/>
    <w:rsid w:val="006A0DEC"/>
    <w:rsid w:val="006A44E8"/>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10D"/>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0BB3"/>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FB0"/>
    <w:rsid w:val="0073629F"/>
    <w:rsid w:val="00744D85"/>
    <w:rsid w:val="00745DCF"/>
    <w:rsid w:val="00747AAA"/>
    <w:rsid w:val="00747DFF"/>
    <w:rsid w:val="0075102F"/>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2A17"/>
    <w:rsid w:val="007731CB"/>
    <w:rsid w:val="00773E65"/>
    <w:rsid w:val="00774EEC"/>
    <w:rsid w:val="00776738"/>
    <w:rsid w:val="00780A9E"/>
    <w:rsid w:val="007818A9"/>
    <w:rsid w:val="0078396B"/>
    <w:rsid w:val="00785DEE"/>
    <w:rsid w:val="00787A2C"/>
    <w:rsid w:val="00787A6D"/>
    <w:rsid w:val="007932D6"/>
    <w:rsid w:val="0079376F"/>
    <w:rsid w:val="00793C51"/>
    <w:rsid w:val="00794816"/>
    <w:rsid w:val="00794903"/>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0485"/>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11F0"/>
    <w:rsid w:val="007E1D80"/>
    <w:rsid w:val="007E1FF8"/>
    <w:rsid w:val="007E3DA2"/>
    <w:rsid w:val="007E53F3"/>
    <w:rsid w:val="007E6C55"/>
    <w:rsid w:val="007E7827"/>
    <w:rsid w:val="007F0463"/>
    <w:rsid w:val="007F08CE"/>
    <w:rsid w:val="007F0B8A"/>
    <w:rsid w:val="007F1CF8"/>
    <w:rsid w:val="007F2317"/>
    <w:rsid w:val="007F4172"/>
    <w:rsid w:val="007F65C0"/>
    <w:rsid w:val="007F6F31"/>
    <w:rsid w:val="008034F6"/>
    <w:rsid w:val="00803D9A"/>
    <w:rsid w:val="00804F30"/>
    <w:rsid w:val="00805C0B"/>
    <w:rsid w:val="00807D31"/>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1EF8"/>
    <w:rsid w:val="00882932"/>
    <w:rsid w:val="00883BF7"/>
    <w:rsid w:val="00883F8D"/>
    <w:rsid w:val="00884BCF"/>
    <w:rsid w:val="0088679F"/>
    <w:rsid w:val="0088721C"/>
    <w:rsid w:val="00887735"/>
    <w:rsid w:val="00890435"/>
    <w:rsid w:val="00891145"/>
    <w:rsid w:val="008927CC"/>
    <w:rsid w:val="0089315A"/>
    <w:rsid w:val="00894A59"/>
    <w:rsid w:val="008968BF"/>
    <w:rsid w:val="008A09BD"/>
    <w:rsid w:val="008A39C4"/>
    <w:rsid w:val="008A421C"/>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5DE"/>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15FCC"/>
    <w:rsid w:val="009172E2"/>
    <w:rsid w:val="00922BC8"/>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2F5D"/>
    <w:rsid w:val="0095441A"/>
    <w:rsid w:val="00961F80"/>
    <w:rsid w:val="009642E6"/>
    <w:rsid w:val="00964DB5"/>
    <w:rsid w:val="00965F95"/>
    <w:rsid w:val="00966F76"/>
    <w:rsid w:val="00971F1B"/>
    <w:rsid w:val="00972276"/>
    <w:rsid w:val="009732F4"/>
    <w:rsid w:val="00973D06"/>
    <w:rsid w:val="009743CF"/>
    <w:rsid w:val="00975121"/>
    <w:rsid w:val="0098477D"/>
    <w:rsid w:val="009872DD"/>
    <w:rsid w:val="0098759C"/>
    <w:rsid w:val="00992942"/>
    <w:rsid w:val="00993A64"/>
    <w:rsid w:val="0099473C"/>
    <w:rsid w:val="00994F48"/>
    <w:rsid w:val="0099502D"/>
    <w:rsid w:val="009A1FAE"/>
    <w:rsid w:val="009A260D"/>
    <w:rsid w:val="009A321A"/>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21FA"/>
    <w:rsid w:val="00A03694"/>
    <w:rsid w:val="00A03C4D"/>
    <w:rsid w:val="00A06747"/>
    <w:rsid w:val="00A07F49"/>
    <w:rsid w:val="00A101A3"/>
    <w:rsid w:val="00A117DB"/>
    <w:rsid w:val="00A13883"/>
    <w:rsid w:val="00A15CFA"/>
    <w:rsid w:val="00A16736"/>
    <w:rsid w:val="00A17D89"/>
    <w:rsid w:val="00A207EC"/>
    <w:rsid w:val="00A21614"/>
    <w:rsid w:val="00A21DF8"/>
    <w:rsid w:val="00A225D1"/>
    <w:rsid w:val="00A22C1D"/>
    <w:rsid w:val="00A245BF"/>
    <w:rsid w:val="00A264C5"/>
    <w:rsid w:val="00A27C6D"/>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0190"/>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B01001"/>
    <w:rsid w:val="00B02E77"/>
    <w:rsid w:val="00B04708"/>
    <w:rsid w:val="00B05437"/>
    <w:rsid w:val="00B05C6A"/>
    <w:rsid w:val="00B078CB"/>
    <w:rsid w:val="00B12611"/>
    <w:rsid w:val="00B12982"/>
    <w:rsid w:val="00B12F9B"/>
    <w:rsid w:val="00B13462"/>
    <w:rsid w:val="00B13580"/>
    <w:rsid w:val="00B161EA"/>
    <w:rsid w:val="00B17E0B"/>
    <w:rsid w:val="00B201C9"/>
    <w:rsid w:val="00B20C6D"/>
    <w:rsid w:val="00B21964"/>
    <w:rsid w:val="00B21A4B"/>
    <w:rsid w:val="00B24675"/>
    <w:rsid w:val="00B2722C"/>
    <w:rsid w:val="00B279AC"/>
    <w:rsid w:val="00B31C2C"/>
    <w:rsid w:val="00B325F9"/>
    <w:rsid w:val="00B32861"/>
    <w:rsid w:val="00B33976"/>
    <w:rsid w:val="00B35864"/>
    <w:rsid w:val="00B36173"/>
    <w:rsid w:val="00B36395"/>
    <w:rsid w:val="00B378C1"/>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573C"/>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B030B"/>
    <w:rsid w:val="00BB0719"/>
    <w:rsid w:val="00BB0EF1"/>
    <w:rsid w:val="00BB1688"/>
    <w:rsid w:val="00BB236F"/>
    <w:rsid w:val="00BB4379"/>
    <w:rsid w:val="00BB5428"/>
    <w:rsid w:val="00BC00BD"/>
    <w:rsid w:val="00BC1D3C"/>
    <w:rsid w:val="00BC2EDB"/>
    <w:rsid w:val="00BC4ED0"/>
    <w:rsid w:val="00BC51F7"/>
    <w:rsid w:val="00BC63CB"/>
    <w:rsid w:val="00BC6F41"/>
    <w:rsid w:val="00BC7236"/>
    <w:rsid w:val="00BC7A54"/>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6B74"/>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6039"/>
    <w:rsid w:val="00C47378"/>
    <w:rsid w:val="00C50488"/>
    <w:rsid w:val="00C52653"/>
    <w:rsid w:val="00C54080"/>
    <w:rsid w:val="00C54976"/>
    <w:rsid w:val="00C55C4C"/>
    <w:rsid w:val="00C56A2E"/>
    <w:rsid w:val="00C6275D"/>
    <w:rsid w:val="00C66497"/>
    <w:rsid w:val="00C6664A"/>
    <w:rsid w:val="00C6707E"/>
    <w:rsid w:val="00C7012F"/>
    <w:rsid w:val="00C73756"/>
    <w:rsid w:val="00C754A2"/>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5960"/>
    <w:rsid w:val="00CA613E"/>
    <w:rsid w:val="00CA630E"/>
    <w:rsid w:val="00CA69C3"/>
    <w:rsid w:val="00CA6E7F"/>
    <w:rsid w:val="00CA70B3"/>
    <w:rsid w:val="00CA741D"/>
    <w:rsid w:val="00CB0B77"/>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551A"/>
    <w:rsid w:val="00CD591C"/>
    <w:rsid w:val="00CD6AB3"/>
    <w:rsid w:val="00CE218C"/>
    <w:rsid w:val="00CE22D1"/>
    <w:rsid w:val="00CE6A8D"/>
    <w:rsid w:val="00CE707E"/>
    <w:rsid w:val="00CE7A85"/>
    <w:rsid w:val="00CF17EE"/>
    <w:rsid w:val="00CF180C"/>
    <w:rsid w:val="00CF2565"/>
    <w:rsid w:val="00CF2F0F"/>
    <w:rsid w:val="00CF30B1"/>
    <w:rsid w:val="00CF3138"/>
    <w:rsid w:val="00CF382C"/>
    <w:rsid w:val="00CF3BD0"/>
    <w:rsid w:val="00CF5C9F"/>
    <w:rsid w:val="00CF69FC"/>
    <w:rsid w:val="00CF6C4A"/>
    <w:rsid w:val="00CF6FD3"/>
    <w:rsid w:val="00D02CFB"/>
    <w:rsid w:val="00D10569"/>
    <w:rsid w:val="00D11AC3"/>
    <w:rsid w:val="00D12417"/>
    <w:rsid w:val="00D125DC"/>
    <w:rsid w:val="00D150FB"/>
    <w:rsid w:val="00D16EF5"/>
    <w:rsid w:val="00D22FFB"/>
    <w:rsid w:val="00D2340D"/>
    <w:rsid w:val="00D234DE"/>
    <w:rsid w:val="00D24ECA"/>
    <w:rsid w:val="00D2690C"/>
    <w:rsid w:val="00D27D77"/>
    <w:rsid w:val="00D30AFC"/>
    <w:rsid w:val="00D319B3"/>
    <w:rsid w:val="00D3266F"/>
    <w:rsid w:val="00D34FD4"/>
    <w:rsid w:val="00D365EF"/>
    <w:rsid w:val="00D4077A"/>
    <w:rsid w:val="00D42413"/>
    <w:rsid w:val="00D42C19"/>
    <w:rsid w:val="00D42CD9"/>
    <w:rsid w:val="00D446DE"/>
    <w:rsid w:val="00D44C13"/>
    <w:rsid w:val="00D44FFC"/>
    <w:rsid w:val="00D458E2"/>
    <w:rsid w:val="00D46C54"/>
    <w:rsid w:val="00D5349A"/>
    <w:rsid w:val="00D534D8"/>
    <w:rsid w:val="00D5436B"/>
    <w:rsid w:val="00D60177"/>
    <w:rsid w:val="00D605F7"/>
    <w:rsid w:val="00D656BF"/>
    <w:rsid w:val="00D65ACC"/>
    <w:rsid w:val="00D67B33"/>
    <w:rsid w:val="00D71121"/>
    <w:rsid w:val="00D72445"/>
    <w:rsid w:val="00D7300E"/>
    <w:rsid w:val="00D73358"/>
    <w:rsid w:val="00D73940"/>
    <w:rsid w:val="00D76DA4"/>
    <w:rsid w:val="00D77B49"/>
    <w:rsid w:val="00D80F18"/>
    <w:rsid w:val="00D80FF8"/>
    <w:rsid w:val="00D84CE6"/>
    <w:rsid w:val="00D853DB"/>
    <w:rsid w:val="00D87F77"/>
    <w:rsid w:val="00D908E6"/>
    <w:rsid w:val="00D92452"/>
    <w:rsid w:val="00D9297D"/>
    <w:rsid w:val="00D93F78"/>
    <w:rsid w:val="00D94B34"/>
    <w:rsid w:val="00D9633A"/>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D7BD0"/>
    <w:rsid w:val="00DE26C5"/>
    <w:rsid w:val="00DE4924"/>
    <w:rsid w:val="00DE49ED"/>
    <w:rsid w:val="00DE64F0"/>
    <w:rsid w:val="00DE71C4"/>
    <w:rsid w:val="00DE7483"/>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6FC9"/>
    <w:rsid w:val="00EC2D40"/>
    <w:rsid w:val="00EC2FF9"/>
    <w:rsid w:val="00EC3E66"/>
    <w:rsid w:val="00EC4091"/>
    <w:rsid w:val="00EC40A1"/>
    <w:rsid w:val="00EC540C"/>
    <w:rsid w:val="00EC627C"/>
    <w:rsid w:val="00EC70EF"/>
    <w:rsid w:val="00ED0C60"/>
    <w:rsid w:val="00ED2105"/>
    <w:rsid w:val="00ED38EF"/>
    <w:rsid w:val="00ED3CF3"/>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5130"/>
    <w:rsid w:val="00F16669"/>
    <w:rsid w:val="00F2064F"/>
    <w:rsid w:val="00F207B8"/>
    <w:rsid w:val="00F229A0"/>
    <w:rsid w:val="00F2335E"/>
    <w:rsid w:val="00F2361B"/>
    <w:rsid w:val="00F30CB5"/>
    <w:rsid w:val="00F3114E"/>
    <w:rsid w:val="00F33048"/>
    <w:rsid w:val="00F33612"/>
    <w:rsid w:val="00F35EDF"/>
    <w:rsid w:val="00F37F01"/>
    <w:rsid w:val="00F37F9F"/>
    <w:rsid w:val="00F40627"/>
    <w:rsid w:val="00F40928"/>
    <w:rsid w:val="00F40BC2"/>
    <w:rsid w:val="00F40F58"/>
    <w:rsid w:val="00F43F9C"/>
    <w:rsid w:val="00F45CA1"/>
    <w:rsid w:val="00F45DD0"/>
    <w:rsid w:val="00F51296"/>
    <w:rsid w:val="00F5199E"/>
    <w:rsid w:val="00F5262E"/>
    <w:rsid w:val="00F546A1"/>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B00FE"/>
    <w:rsid w:val="00FB0893"/>
    <w:rsid w:val="00FB0BD4"/>
    <w:rsid w:val="00FB30E3"/>
    <w:rsid w:val="00FB3F74"/>
    <w:rsid w:val="00FB5B2F"/>
    <w:rsid w:val="00FB7324"/>
    <w:rsid w:val="00FC167D"/>
    <w:rsid w:val="00FC2E27"/>
    <w:rsid w:val="00FC32F3"/>
    <w:rsid w:val="00FC53FB"/>
    <w:rsid w:val="00FC6833"/>
    <w:rsid w:val="00FC7FC4"/>
    <w:rsid w:val="00FD184C"/>
    <w:rsid w:val="00FD2F75"/>
    <w:rsid w:val="00FD327B"/>
    <w:rsid w:val="00FD3319"/>
    <w:rsid w:val="00FD37E9"/>
    <w:rsid w:val="00FD394A"/>
    <w:rsid w:val="00FD4B1F"/>
    <w:rsid w:val="00FD653B"/>
    <w:rsid w:val="00FD708A"/>
    <w:rsid w:val="00FE2A8B"/>
    <w:rsid w:val="00FE3FE0"/>
    <w:rsid w:val="00FF0412"/>
    <w:rsid w:val="00FF1F1A"/>
    <w:rsid w:val="00FF48EF"/>
    <w:rsid w:val="00FF54B1"/>
    <w:rsid w:val="00FF6AA2"/>
    <w:rsid w:val="24371C9D"/>
    <w:rsid w:val="597D42DF"/>
    <w:rsid w:val="5C3A574F"/>
    <w:rsid w:val="6A537BCE"/>
    <w:rsid w:val="74CB730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79AF4D"/>
  <w15:docId w15:val="{C49E1597-6EE1-4842-88B5-1C064138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autoRedefine/>
    <w:uiPriority w:val="99"/>
    <w:semiHidden/>
    <w:unhideWhenUsed/>
    <w:qFormat/>
    <w:rPr>
      <w:sz w:val="16"/>
      <w:szCs w:val="16"/>
    </w:rPr>
  </w:style>
  <w:style w:type="character" w:styleId="Refdenotaalpie">
    <w:name w:val="footnote reference"/>
    <w:basedOn w:val="Fuentedeprrafopredeter"/>
    <w:uiPriority w:val="99"/>
    <w:semiHidden/>
    <w:unhideWhenUsed/>
    <w:qFormat/>
    <w:rPr>
      <w:vertAlign w:val="superscript"/>
    </w:rPr>
  </w:style>
  <w:style w:type="character" w:styleId="nfasis">
    <w:name w:val="Emphasis"/>
    <w:basedOn w:val="Fuentedeprrafopredeter"/>
    <w:uiPriority w:val="20"/>
    <w:qFormat/>
    <w:rPr>
      <w:i/>
      <w:iCs/>
    </w:rPr>
  </w:style>
  <w:style w:type="character" w:styleId="Hipervnculo">
    <w:name w:val="Hyperlink"/>
    <w:basedOn w:val="Fuentedeprrafopredeter"/>
    <w:autoRedefine/>
    <w:uiPriority w:val="99"/>
    <w:unhideWhenUsed/>
    <w:qFormat/>
    <w:rPr>
      <w:color w:val="0563C1" w:themeColor="hyperlink"/>
      <w:u w:val="single"/>
    </w:rPr>
  </w:style>
  <w:style w:type="character" w:styleId="Textoennegrita">
    <w:name w:val="Strong"/>
    <w:basedOn w:val="Fuentedeprrafopredeter"/>
    <w:autoRedefine/>
    <w:uiPriority w:val="22"/>
    <w:qFormat/>
    <w:rPr>
      <w:b/>
      <w:bCs/>
    </w:rPr>
  </w:style>
  <w:style w:type="paragraph" w:styleId="Textonotapie">
    <w:name w:val="footnote text"/>
    <w:basedOn w:val="Normal"/>
    <w:link w:val="TextonotapieCar"/>
    <w:autoRedefine/>
    <w:uiPriority w:val="99"/>
    <w:semiHidden/>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autoRedefine/>
    <w:uiPriority w:val="99"/>
    <w:semiHidden/>
    <w:unhideWhenUsed/>
    <w:qFormat/>
    <w:rPr>
      <w:b/>
      <w:bCs/>
    </w:rPr>
  </w:style>
  <w:style w:type="paragraph" w:styleId="Textocomentario">
    <w:name w:val="annotation text"/>
    <w:basedOn w:val="Normal"/>
    <w:link w:val="TextocomentarioCar"/>
    <w:uiPriority w:val="99"/>
    <w:unhideWhenUsed/>
    <w:pPr>
      <w:spacing w:line="240" w:lineRule="auto"/>
    </w:pPr>
    <w:rPr>
      <w:sz w:val="20"/>
      <w:szCs w:val="20"/>
    </w:rPr>
  </w:style>
  <w:style w:type="paragraph" w:styleId="Textodeglobo">
    <w:name w:val="Balloon Text"/>
    <w:basedOn w:val="Normal"/>
    <w:link w:val="TextodegloboCar"/>
    <w:autoRedefine/>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autoRedefine/>
    <w:uiPriority w:val="99"/>
    <w:unhideWhenUsed/>
    <w:qFormat/>
    <w:pPr>
      <w:tabs>
        <w:tab w:val="center" w:pos="4419"/>
        <w:tab w:val="right" w:pos="8838"/>
      </w:tabs>
      <w:spacing w:after="0" w:line="240" w:lineRule="auto"/>
    </w:pPr>
  </w:style>
  <w:style w:type="paragraph" w:styleId="NormalWeb">
    <w:name w:val="Normal (Web)"/>
    <w:basedOn w:val="Normal"/>
    <w:uiPriority w:val="99"/>
    <w:semiHidden/>
    <w:unhideWhenUsed/>
    <w:qFormat/>
    <w:rPr>
      <w:rFonts w:ascii="Times New Roman" w:hAnsi="Times New Roman" w:cs="Times New Roman"/>
      <w:sz w:val="24"/>
      <w:szCs w:val="24"/>
    </w:rPr>
  </w:style>
  <w:style w:type="paragraph" w:styleId="Piedepgina">
    <w:name w:val="footer"/>
    <w:basedOn w:val="Normal"/>
    <w:link w:val="PiedepginaCar"/>
    <w:autoRedefine/>
    <w:uiPriority w:val="99"/>
    <w:unhideWhenUsed/>
    <w:qFormat/>
    <w:pPr>
      <w:tabs>
        <w:tab w:val="center" w:pos="4419"/>
        <w:tab w:val="right" w:pos="8838"/>
      </w:tabs>
      <w:spacing w:after="0" w:line="240" w:lineRule="auto"/>
    </w:pPr>
  </w:style>
  <w:style w:type="table" w:styleId="Tablaconcuadrcula">
    <w:name w:val="Table Grid"/>
    <w:basedOn w:val="Tabla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autoRedefine/>
    <w:uiPriority w:val="34"/>
    <w:qFormat/>
    <w:pPr>
      <w:ind w:left="720"/>
      <w:contextualSpacing/>
    </w:pPr>
  </w:style>
  <w:style w:type="character" w:customStyle="1" w:styleId="Mencinsinresolver1">
    <w:name w:val="Mención sin resolver1"/>
    <w:basedOn w:val="Fuentedeprrafopredeter"/>
    <w:autoRedefine/>
    <w:uiPriority w:val="99"/>
    <w:semiHidden/>
    <w:unhideWhenUsed/>
    <w:qFormat/>
    <w:rPr>
      <w:color w:val="605E5C"/>
      <w:shd w:val="clear" w:color="auto" w:fill="E1DFDD"/>
    </w:rPr>
  </w:style>
  <w:style w:type="paragraph" w:customStyle="1" w:styleId="Revisin1">
    <w:name w:val="Revisión1"/>
    <w:hidden/>
    <w:uiPriority w:val="99"/>
    <w:semiHidden/>
    <w:qFormat/>
    <w:rPr>
      <w:sz w:val="22"/>
      <w:szCs w:val="22"/>
      <w:lang w:eastAsia="en-US"/>
    </w:rPr>
  </w:style>
  <w:style w:type="paragraph" w:customStyle="1" w:styleId="Body">
    <w:name w:val="Body"/>
    <w:qFormat/>
    <w:pPr>
      <w:spacing w:after="160" w:line="259" w:lineRule="auto"/>
    </w:pPr>
    <w:rPr>
      <w:rFonts w:ascii="Calibri" w:eastAsia="Calibri" w:hAnsi="Calibri" w:cs="Calibri"/>
      <w:color w:val="000000"/>
      <w:sz w:val="22"/>
      <w:szCs w:val="22"/>
      <w:u w:color="000000"/>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autoRedefine/>
    <w:uiPriority w:val="9"/>
    <w:qFormat/>
    <w:rPr>
      <w:rFonts w:asciiTheme="majorHAnsi" w:eastAsiaTheme="majorEastAsia" w:hAnsiTheme="majorHAnsi" w:cstheme="majorBidi"/>
      <w:color w:val="1F3864" w:themeColor="accent1" w:themeShade="80"/>
      <w:sz w:val="24"/>
      <w:szCs w:val="24"/>
    </w:rPr>
  </w:style>
  <w:style w:type="character" w:customStyle="1" w:styleId="TextonotapieCar">
    <w:name w:val="Texto nota pie Car"/>
    <w:basedOn w:val="Fuentedeprrafopredeter"/>
    <w:link w:val="Textonotapie"/>
    <w:uiPriority w:val="99"/>
    <w:semiHidden/>
    <w:qFormat/>
    <w:rPr>
      <w:sz w:val="20"/>
      <w:szCs w:val="2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autoRedefine/>
    <w:uiPriority w:val="9"/>
    <w:qFormat/>
    <w:rPr>
      <w:rFonts w:asciiTheme="majorHAnsi" w:eastAsiaTheme="majorEastAsia" w:hAnsiTheme="majorHAnsi" w:cstheme="majorBidi"/>
      <w:color w:val="2F5496" w:themeColor="accent1" w:themeShade="BF"/>
      <w:sz w:val="26"/>
      <w:szCs w:val="26"/>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autoRedefine/>
    <w:uiPriority w:val="99"/>
    <w:semiHidden/>
    <w:qFormat/>
    <w:rPr>
      <w:b/>
      <w:bCs/>
      <w:sz w:val="20"/>
      <w:szCs w:val="20"/>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Mencinsinresolver4">
    <w:name w:val="Mención sin resolver4"/>
    <w:basedOn w:val="Fuentedeprrafopredeter"/>
    <w:uiPriority w:val="99"/>
    <w:semiHidden/>
    <w:unhideWhenUsed/>
    <w:qFormat/>
    <w:rPr>
      <w:color w:val="605E5C"/>
      <w:shd w:val="clear" w:color="auto" w:fill="E1DFDD"/>
    </w:rPr>
  </w:style>
  <w:style w:type="character" w:customStyle="1" w:styleId="Mencinsinresolver5">
    <w:name w:val="Mención sin resolver5"/>
    <w:basedOn w:val="Fuentedeprrafopredeter"/>
    <w:uiPriority w:val="99"/>
    <w:semiHidden/>
    <w:unhideWhenUsed/>
    <w:qFormat/>
    <w:rPr>
      <w:color w:val="605E5C"/>
      <w:shd w:val="clear" w:color="auto" w:fill="E1DFDD"/>
    </w:rPr>
  </w:style>
  <w:style w:type="character" w:customStyle="1" w:styleId="Mencinsinresolver6">
    <w:name w:val="Mención sin resolver6"/>
    <w:basedOn w:val="Fuentedeprrafopredeter"/>
    <w:uiPriority w:val="99"/>
    <w:semiHidden/>
    <w:unhideWhenUsed/>
    <w:qFormat/>
    <w:rPr>
      <w:color w:val="605E5C"/>
      <w:shd w:val="clear" w:color="auto" w:fill="E1DFDD"/>
    </w:rPr>
  </w:style>
  <w:style w:type="character" w:customStyle="1" w:styleId="Mencinsinresolver7">
    <w:name w:val="Mención sin resolver7"/>
    <w:basedOn w:val="Fuentedeprrafopredeter"/>
    <w:uiPriority w:val="99"/>
    <w:semiHidden/>
    <w:unhideWhenUsed/>
    <w:qFormat/>
    <w:rPr>
      <w:color w:val="605E5C"/>
      <w:shd w:val="clear" w:color="auto" w:fill="E1DFDD"/>
    </w:rPr>
  </w:style>
  <w:style w:type="character" w:customStyle="1" w:styleId="Mencinsinresolver8">
    <w:name w:val="Mención sin resolver8"/>
    <w:basedOn w:val="Fuentedeprrafopredeter"/>
    <w:uiPriority w:val="99"/>
    <w:semiHidden/>
    <w:unhideWhenUsed/>
    <w:qFormat/>
    <w:rPr>
      <w:color w:val="605E5C"/>
      <w:shd w:val="clear" w:color="auto" w:fill="E1DFDD"/>
    </w:rPr>
  </w:style>
  <w:style w:type="character" w:customStyle="1" w:styleId="Mencinsinresolver9">
    <w:name w:val="Mención sin resolver9"/>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irDetalle(13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3369</Words>
  <Characters>18531</Characters>
  <Application>Microsoft Office Word</Application>
  <DocSecurity>0</DocSecurity>
  <Lines>154</Lines>
  <Paragraphs>43</Paragraphs>
  <ScaleCrop>false</ScaleCrop>
  <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Brenda Sarahi Gonzalez Dominguez</cp:lastModifiedBy>
  <cp:revision>2</cp:revision>
  <cp:lastPrinted>2024-02-12T17:34:00Z</cp:lastPrinted>
  <dcterms:created xsi:type="dcterms:W3CDTF">2024-05-14T15:25:00Z</dcterms:created>
  <dcterms:modified xsi:type="dcterms:W3CDTF">2024-05-14T15:25:00Z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5B31D2C9D8204264B36B388959939DA4_13</vt:lpwstr>
  </property>
</Properties>
</file>