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CADA" w14:textId="37D62982" w:rsidR="006568C3" w:rsidRPr="003F2163" w:rsidRDefault="006568C3" w:rsidP="002558E7">
      <w:pPr>
        <w:spacing w:before="120" w:after="120" w:line="240" w:lineRule="auto"/>
        <w:jc w:val="right"/>
        <w:rPr>
          <w:rFonts w:ascii="Avenir Next LT Pro" w:hAnsi="Avenir Next LT Pro" w:cs="Arial"/>
          <w:sz w:val="24"/>
          <w:szCs w:val="24"/>
        </w:rPr>
      </w:pPr>
      <w:r w:rsidRPr="003F2163">
        <w:rPr>
          <w:rFonts w:ascii="Avenir Next LT Pro" w:hAnsi="Avenir Next LT Pro" w:cs="Arial"/>
          <w:sz w:val="24"/>
          <w:szCs w:val="24"/>
        </w:rPr>
        <w:t xml:space="preserve">Chihuahua a </w:t>
      </w:r>
      <w:r w:rsidR="00920E06">
        <w:rPr>
          <w:rFonts w:ascii="Avenir Next LT Pro" w:hAnsi="Avenir Next LT Pro" w:cs="Arial"/>
          <w:sz w:val="24"/>
          <w:szCs w:val="24"/>
        </w:rPr>
        <w:t>20</w:t>
      </w:r>
      <w:r w:rsidR="0085537E">
        <w:rPr>
          <w:rFonts w:ascii="Avenir Next LT Pro" w:hAnsi="Avenir Next LT Pro" w:cs="Arial"/>
          <w:sz w:val="24"/>
          <w:szCs w:val="24"/>
        </w:rPr>
        <w:t xml:space="preserve"> de enero</w:t>
      </w:r>
      <w:r w:rsidR="00E60FE5">
        <w:rPr>
          <w:rFonts w:ascii="Avenir Next LT Pro" w:hAnsi="Avenir Next LT Pro" w:cs="Arial"/>
          <w:sz w:val="24"/>
          <w:szCs w:val="24"/>
        </w:rPr>
        <w:t xml:space="preserve"> </w:t>
      </w:r>
      <w:r w:rsidRPr="003F2163">
        <w:rPr>
          <w:rFonts w:ascii="Avenir Next LT Pro" w:hAnsi="Avenir Next LT Pro" w:cs="Arial"/>
          <w:sz w:val="24"/>
          <w:szCs w:val="24"/>
        </w:rPr>
        <w:t>del 202</w:t>
      </w:r>
      <w:r w:rsidR="0085537E">
        <w:rPr>
          <w:rFonts w:ascii="Avenir Next LT Pro" w:hAnsi="Avenir Next LT Pro" w:cs="Arial"/>
          <w:sz w:val="24"/>
          <w:szCs w:val="24"/>
        </w:rPr>
        <w:t>5</w:t>
      </w:r>
    </w:p>
    <w:p w14:paraId="0389E816" w14:textId="77777777" w:rsidR="006568C3" w:rsidRPr="003F2163" w:rsidRDefault="006568C3" w:rsidP="002558E7">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b/>
          <w:bCs/>
          <w:sz w:val="24"/>
          <w:szCs w:val="24"/>
        </w:rPr>
        <w:t>H. CONGRESO DEL ESTADO</w:t>
      </w:r>
    </w:p>
    <w:p w14:paraId="013D626A" w14:textId="5B37E2B9" w:rsidR="006568C3" w:rsidRDefault="006568C3" w:rsidP="002558E7">
      <w:pPr>
        <w:spacing w:before="120" w:after="120" w:line="360" w:lineRule="auto"/>
        <w:mirrorIndents/>
        <w:jc w:val="both"/>
        <w:rPr>
          <w:rFonts w:ascii="Avenir Next LT Pro" w:hAnsi="Avenir Next LT Pro" w:cs="Arial"/>
          <w:b/>
          <w:bCs/>
          <w:sz w:val="24"/>
          <w:szCs w:val="24"/>
        </w:rPr>
      </w:pPr>
      <w:r w:rsidRPr="003F2163">
        <w:rPr>
          <w:rFonts w:ascii="Avenir Next LT Pro" w:hAnsi="Avenir Next LT Pro" w:cs="Arial"/>
          <w:b/>
          <w:bCs/>
          <w:sz w:val="24"/>
          <w:szCs w:val="24"/>
        </w:rPr>
        <w:t>P R E S E N T E.-</w:t>
      </w:r>
      <w:r w:rsidR="002558E7">
        <w:rPr>
          <w:rFonts w:ascii="Avenir Next LT Pro" w:hAnsi="Avenir Next LT Pro" w:cs="Arial"/>
          <w:b/>
          <w:bCs/>
          <w:sz w:val="24"/>
          <w:szCs w:val="24"/>
        </w:rPr>
        <w:t xml:space="preserve"> </w:t>
      </w:r>
    </w:p>
    <w:p w14:paraId="7AF28E96" w14:textId="77777777" w:rsidR="00E13A92" w:rsidRPr="003F2163" w:rsidRDefault="00E13A92" w:rsidP="002558E7">
      <w:pPr>
        <w:spacing w:before="120" w:after="120" w:line="360" w:lineRule="auto"/>
        <w:mirrorIndents/>
        <w:jc w:val="both"/>
        <w:rPr>
          <w:rFonts w:ascii="Avenir Next LT Pro" w:hAnsi="Avenir Next LT Pro" w:cs="Arial"/>
          <w:b/>
          <w:bCs/>
          <w:sz w:val="24"/>
          <w:szCs w:val="24"/>
        </w:rPr>
      </w:pPr>
    </w:p>
    <w:p w14:paraId="2AF5299E" w14:textId="4B2E687F" w:rsidR="006568C3" w:rsidRPr="003F2163" w:rsidRDefault="006568C3" w:rsidP="002558E7">
      <w:pPr>
        <w:spacing w:before="120" w:after="120" w:line="360" w:lineRule="auto"/>
        <w:mirrorIndents/>
        <w:jc w:val="both"/>
        <w:rPr>
          <w:rFonts w:ascii="Avenir Next LT Pro" w:hAnsi="Avenir Next LT Pro" w:cs="Arial"/>
          <w:sz w:val="24"/>
          <w:szCs w:val="24"/>
        </w:rPr>
      </w:pPr>
      <w:r w:rsidRPr="003F2163">
        <w:rPr>
          <w:rFonts w:ascii="Avenir Next LT Pro" w:hAnsi="Avenir Next LT Pro" w:cs="Arial"/>
          <w:b/>
          <w:bCs/>
          <w:sz w:val="24"/>
          <w:szCs w:val="24"/>
        </w:rPr>
        <w:t>JOSÉ LUIS VILLALOBOS GARCÍA</w:t>
      </w:r>
      <w:r w:rsidRPr="003F2163">
        <w:rPr>
          <w:rFonts w:ascii="Avenir Next LT Pro" w:hAnsi="Avenir Next LT Pro" w:cs="Arial"/>
          <w:sz w:val="24"/>
          <w:szCs w:val="24"/>
        </w:rPr>
        <w:t>, Diputado de la Sexagésima Octava Legislatura del Honorable Congreso del Estado, integrante del Grupo Parlamentario del Partido Revolucionario Institucional con fundamento en lo que dispone los artículos 167, fracción I, 168</w:t>
      </w:r>
      <w:r w:rsidR="00C36E72" w:rsidRPr="003F2163">
        <w:rPr>
          <w:rFonts w:ascii="Avenir Next LT Pro" w:hAnsi="Avenir Next LT Pro" w:cs="Arial"/>
          <w:sz w:val="24"/>
          <w:szCs w:val="24"/>
        </w:rPr>
        <w:t>,</w:t>
      </w:r>
      <w:r w:rsidRPr="003F2163">
        <w:rPr>
          <w:rFonts w:ascii="Avenir Next LT Pro" w:hAnsi="Avenir Next LT Pro" w:cs="Arial"/>
          <w:sz w:val="24"/>
          <w:szCs w:val="24"/>
        </w:rPr>
        <w:t xml:space="preserve"> </w:t>
      </w:r>
      <w:r w:rsidR="00C36E72" w:rsidRPr="003F2163">
        <w:rPr>
          <w:rFonts w:ascii="Avenir Next LT Pro" w:hAnsi="Avenir Next LT Pro" w:cs="Arial"/>
          <w:sz w:val="24"/>
          <w:szCs w:val="24"/>
        </w:rPr>
        <w:t>y 170</w:t>
      </w:r>
      <w:r w:rsidRPr="003F2163">
        <w:rPr>
          <w:rFonts w:ascii="Avenir Next LT Pro" w:hAnsi="Avenir Next LT Pro" w:cs="Arial"/>
          <w:sz w:val="24"/>
          <w:szCs w:val="24"/>
        </w:rPr>
        <w:t xml:space="preserve"> de la Ley Orgánica del Poder Legislativo, 2, fracción IV, 75, 76, </w:t>
      </w:r>
      <w:r w:rsidR="009A423F">
        <w:rPr>
          <w:rFonts w:ascii="Avenir Next LT Pro" w:hAnsi="Avenir Next LT Pro" w:cs="Arial"/>
          <w:sz w:val="24"/>
          <w:szCs w:val="24"/>
        </w:rPr>
        <w:t xml:space="preserve">y </w:t>
      </w:r>
      <w:r w:rsidRPr="003F2163">
        <w:rPr>
          <w:rFonts w:ascii="Avenir Next LT Pro" w:hAnsi="Avenir Next LT Pro" w:cs="Arial"/>
          <w:sz w:val="24"/>
          <w:szCs w:val="24"/>
        </w:rPr>
        <w:t>77</w:t>
      </w:r>
      <w:r w:rsidR="00C36E72" w:rsidRPr="003F2163">
        <w:rPr>
          <w:rFonts w:ascii="Avenir Next LT Pro" w:hAnsi="Avenir Next LT Pro" w:cs="Arial"/>
          <w:sz w:val="24"/>
          <w:szCs w:val="24"/>
        </w:rPr>
        <w:t xml:space="preserve"> </w:t>
      </w:r>
      <w:r w:rsidRPr="003F2163">
        <w:rPr>
          <w:rFonts w:ascii="Avenir Next LT Pro" w:hAnsi="Avenir Next LT Pro" w:cs="Arial"/>
          <w:sz w:val="24"/>
          <w:szCs w:val="24"/>
        </w:rPr>
        <w:t xml:space="preserve"> del Reglamento Interior y de Prácticas Parlamentarias del Poder Legislativo, y demás relativos comparezco ante esta Honorable Soberanía, a fin de presentar </w:t>
      </w:r>
      <w:r w:rsidRPr="003F2163">
        <w:rPr>
          <w:rFonts w:ascii="Avenir Next LT Pro" w:hAnsi="Avenir Next LT Pro" w:cs="Arial"/>
          <w:b/>
          <w:bCs/>
          <w:sz w:val="24"/>
          <w:szCs w:val="24"/>
        </w:rPr>
        <w:t xml:space="preserve">INICIATIVA CON CARÁCTER DE DECRETO, </w:t>
      </w:r>
      <w:r w:rsidR="00ED1B97" w:rsidRPr="00F67579">
        <w:rPr>
          <w:rFonts w:ascii="Avenir Next LT Pro" w:hAnsi="Avenir Next LT Pro" w:cs="Arial"/>
          <w:b/>
          <w:bCs/>
          <w:sz w:val="24"/>
          <w:szCs w:val="24"/>
        </w:rPr>
        <w:t xml:space="preserve">A EFECTO DE </w:t>
      </w:r>
      <w:r w:rsidRPr="00F67579">
        <w:rPr>
          <w:rFonts w:ascii="Avenir Next LT Pro" w:hAnsi="Avenir Next LT Pro" w:cs="Arial"/>
          <w:b/>
          <w:bCs/>
          <w:sz w:val="24"/>
          <w:szCs w:val="24"/>
        </w:rPr>
        <w:t xml:space="preserve"> ADICIONAR</w:t>
      </w:r>
      <w:r w:rsidR="009F0E43" w:rsidRPr="00F67579">
        <w:rPr>
          <w:rFonts w:ascii="Avenir Next LT Pro" w:hAnsi="Avenir Next LT Pro" w:cs="Arial"/>
          <w:b/>
          <w:bCs/>
          <w:sz w:val="24"/>
          <w:szCs w:val="24"/>
        </w:rPr>
        <w:t xml:space="preserve"> </w:t>
      </w:r>
      <w:r w:rsidR="009A423F">
        <w:rPr>
          <w:rFonts w:ascii="Avenir Next LT Pro" w:hAnsi="Avenir Next LT Pro" w:cs="Arial"/>
          <w:b/>
          <w:bCs/>
          <w:sz w:val="24"/>
          <w:szCs w:val="24"/>
        </w:rPr>
        <w:t>UN SEGUNDO P</w:t>
      </w:r>
      <w:r w:rsidR="006253C0">
        <w:rPr>
          <w:rFonts w:ascii="Avenir Next LT Pro" w:hAnsi="Avenir Next LT Pro" w:cs="Arial"/>
          <w:b/>
          <w:bCs/>
          <w:sz w:val="24"/>
          <w:szCs w:val="24"/>
        </w:rPr>
        <w:t>Á</w:t>
      </w:r>
      <w:r w:rsidR="009A423F">
        <w:rPr>
          <w:rFonts w:ascii="Avenir Next LT Pro" w:hAnsi="Avenir Next LT Pro" w:cs="Arial"/>
          <w:b/>
          <w:bCs/>
          <w:sz w:val="24"/>
          <w:szCs w:val="24"/>
        </w:rPr>
        <w:t>RRAFO</w:t>
      </w:r>
      <w:r w:rsidR="00E60FE5" w:rsidRPr="00F67579">
        <w:rPr>
          <w:rFonts w:ascii="Avenir Next LT Pro" w:hAnsi="Avenir Next LT Pro" w:cs="Arial"/>
          <w:b/>
          <w:bCs/>
          <w:sz w:val="24"/>
          <w:szCs w:val="24"/>
        </w:rPr>
        <w:t xml:space="preserve">, </w:t>
      </w:r>
      <w:r w:rsidR="00F67579" w:rsidRPr="00F67579">
        <w:rPr>
          <w:rFonts w:ascii="Avenir Next LT Pro" w:hAnsi="Avenir Next LT Pro" w:cs="Arial"/>
          <w:b/>
          <w:bCs/>
          <w:sz w:val="24"/>
          <w:szCs w:val="24"/>
        </w:rPr>
        <w:t>AL</w:t>
      </w:r>
      <w:r w:rsidR="00E60FE5" w:rsidRPr="00F67579">
        <w:rPr>
          <w:rFonts w:ascii="Avenir Next LT Pro" w:hAnsi="Avenir Next LT Pro" w:cs="Arial"/>
          <w:b/>
          <w:bCs/>
          <w:sz w:val="24"/>
          <w:szCs w:val="24"/>
        </w:rPr>
        <w:t xml:space="preserve"> ARTÍCULO </w:t>
      </w:r>
      <w:r w:rsidR="009A423F">
        <w:rPr>
          <w:rFonts w:ascii="Avenir Next LT Pro" w:hAnsi="Avenir Next LT Pro" w:cs="Arial"/>
          <w:b/>
          <w:bCs/>
          <w:sz w:val="24"/>
          <w:szCs w:val="24"/>
        </w:rPr>
        <w:t>215 DE LA LEY ESTATAL DE SALUD</w:t>
      </w:r>
      <w:r w:rsidRPr="00F67579">
        <w:rPr>
          <w:rFonts w:ascii="Avenir Next LT Pro" w:hAnsi="Avenir Next LT Pro" w:cs="Arial"/>
          <w:b/>
          <w:bCs/>
          <w:sz w:val="24"/>
          <w:szCs w:val="24"/>
        </w:rPr>
        <w:t xml:space="preserve">, </w:t>
      </w:r>
      <w:r w:rsidR="00303D76" w:rsidRPr="00F67579">
        <w:rPr>
          <w:rFonts w:ascii="Avenir Next LT Pro" w:hAnsi="Avenir Next LT Pro" w:cs="Arial"/>
          <w:b/>
          <w:bCs/>
          <w:sz w:val="24"/>
          <w:szCs w:val="24"/>
        </w:rPr>
        <w:t>con la finalidad</w:t>
      </w:r>
      <w:r w:rsidR="00E60FE5" w:rsidRPr="00F67579">
        <w:rPr>
          <w:rFonts w:ascii="Avenir Next LT Pro" w:hAnsi="Avenir Next LT Pro" w:cs="Arial"/>
          <w:b/>
          <w:bCs/>
          <w:sz w:val="24"/>
          <w:szCs w:val="24"/>
        </w:rPr>
        <w:t xml:space="preserve"> </w:t>
      </w:r>
      <w:r w:rsidR="00F67579" w:rsidRPr="00F67579">
        <w:rPr>
          <w:rFonts w:ascii="Avenir Next LT Pro" w:hAnsi="Avenir Next LT Pro" w:cs="Arial"/>
          <w:b/>
          <w:bCs/>
          <w:sz w:val="24"/>
          <w:szCs w:val="24"/>
        </w:rPr>
        <w:t xml:space="preserve">de </w:t>
      </w:r>
      <w:r w:rsidR="009A423F">
        <w:rPr>
          <w:rFonts w:ascii="Avenir Next LT Pro" w:hAnsi="Avenir Next LT Pro" w:cs="Arial"/>
          <w:b/>
          <w:bCs/>
          <w:sz w:val="24"/>
          <w:szCs w:val="24"/>
        </w:rPr>
        <w:t xml:space="preserve">consolidar </w:t>
      </w:r>
      <w:r w:rsidR="009A423F" w:rsidRPr="009A423F">
        <w:rPr>
          <w:rFonts w:ascii="Avenir Next LT Pro" w:hAnsi="Avenir Next LT Pro" w:cs="Arial"/>
          <w:b/>
          <w:bCs/>
          <w:sz w:val="24"/>
          <w:szCs w:val="24"/>
        </w:rPr>
        <w:t>acciones de promoción, prevención, detección, tratamiento, rehabilitación y control en materia de cáncer</w:t>
      </w:r>
      <w:r w:rsidR="0090144E" w:rsidRPr="00F67579">
        <w:rPr>
          <w:rFonts w:ascii="Avenir Next LT Pro" w:hAnsi="Avenir Next LT Pro" w:cs="Arial"/>
          <w:b/>
          <w:bCs/>
          <w:sz w:val="24"/>
          <w:szCs w:val="24"/>
        </w:rPr>
        <w:t>.</w:t>
      </w:r>
    </w:p>
    <w:p w14:paraId="0800DCB5" w14:textId="167B5FD6" w:rsidR="004C0FC6" w:rsidRDefault="006568C3" w:rsidP="0042215D">
      <w:pPr>
        <w:spacing w:before="120" w:after="120" w:line="360" w:lineRule="auto"/>
        <w:mirrorIndents/>
        <w:jc w:val="both"/>
        <w:rPr>
          <w:rFonts w:ascii="Avenir Next LT Pro" w:eastAsia="Verdana" w:hAnsi="Avenir Next LT Pro" w:cs="Arial"/>
          <w:color w:val="000000" w:themeColor="text1"/>
          <w:sz w:val="24"/>
          <w:szCs w:val="24"/>
        </w:rPr>
      </w:pPr>
      <w:r w:rsidRPr="003F2163">
        <w:rPr>
          <w:rFonts w:ascii="Avenir Next LT Pro" w:hAnsi="Avenir Next LT Pro" w:cs="Arial"/>
          <w:sz w:val="24"/>
          <w:szCs w:val="24"/>
        </w:rPr>
        <w:t xml:space="preserve">Lo anterior </w:t>
      </w:r>
      <w:r w:rsidRPr="003F2163">
        <w:rPr>
          <w:rFonts w:ascii="Avenir Next LT Pro" w:eastAsia="Verdana" w:hAnsi="Avenir Next LT Pro" w:cs="Arial"/>
          <w:color w:val="000000" w:themeColor="text1"/>
          <w:sz w:val="24"/>
          <w:szCs w:val="24"/>
        </w:rPr>
        <w:t xml:space="preserve">por los motivos y fundamentos que a continuación se expresan.  </w:t>
      </w:r>
    </w:p>
    <w:p w14:paraId="2815587E" w14:textId="77777777" w:rsidR="00F67579" w:rsidRPr="0042215D" w:rsidRDefault="00F67579" w:rsidP="0042215D">
      <w:pPr>
        <w:spacing w:before="120" w:after="120" w:line="360" w:lineRule="auto"/>
        <w:mirrorIndents/>
        <w:jc w:val="both"/>
        <w:rPr>
          <w:rFonts w:ascii="Avenir Next LT Pro" w:hAnsi="Avenir Next LT Pro" w:cs="Arial"/>
          <w:b/>
          <w:bCs/>
          <w:sz w:val="24"/>
          <w:szCs w:val="24"/>
        </w:rPr>
      </w:pPr>
    </w:p>
    <w:p w14:paraId="01C4DB5D" w14:textId="704B4E96" w:rsidR="002558E7" w:rsidRDefault="006568C3" w:rsidP="002558E7">
      <w:pPr>
        <w:widowControl w:val="0"/>
        <w:pBdr>
          <w:top w:val="nil"/>
          <w:left w:val="nil"/>
          <w:bottom w:val="nil"/>
          <w:right w:val="nil"/>
          <w:between w:val="nil"/>
        </w:pBdr>
        <w:spacing w:before="120" w:after="120" w:line="360" w:lineRule="auto"/>
        <w:mirrorIndents/>
        <w:jc w:val="center"/>
        <w:rPr>
          <w:rFonts w:ascii="Avenir Next LT Pro" w:eastAsia="Verdana" w:hAnsi="Avenir Next LT Pro" w:cs="Arial"/>
          <w:b/>
          <w:color w:val="000000" w:themeColor="text1"/>
          <w:sz w:val="24"/>
          <w:szCs w:val="24"/>
        </w:rPr>
      </w:pPr>
      <w:r w:rsidRPr="003F2163">
        <w:rPr>
          <w:rFonts w:ascii="Avenir Next LT Pro" w:eastAsia="Verdana" w:hAnsi="Avenir Next LT Pro" w:cs="Arial"/>
          <w:b/>
          <w:color w:val="000000" w:themeColor="text1"/>
          <w:sz w:val="24"/>
          <w:szCs w:val="24"/>
        </w:rPr>
        <w:t>EXPOSICIÓN DE MOTIVOS</w:t>
      </w:r>
    </w:p>
    <w:p w14:paraId="4FDB36C7" w14:textId="77777777" w:rsidR="00ED63FD" w:rsidRDefault="00ED63FD" w:rsidP="002558E7">
      <w:pPr>
        <w:widowControl w:val="0"/>
        <w:pBdr>
          <w:top w:val="nil"/>
          <w:left w:val="nil"/>
          <w:bottom w:val="nil"/>
          <w:right w:val="nil"/>
          <w:between w:val="nil"/>
        </w:pBdr>
        <w:spacing w:before="120" w:after="120" w:line="360" w:lineRule="auto"/>
        <w:mirrorIndents/>
        <w:jc w:val="center"/>
        <w:rPr>
          <w:rFonts w:ascii="Avenir Next LT Pro" w:eastAsia="Verdana" w:hAnsi="Avenir Next LT Pro" w:cs="Arial"/>
          <w:b/>
          <w:color w:val="000000" w:themeColor="text1"/>
          <w:sz w:val="24"/>
          <w:szCs w:val="24"/>
        </w:rPr>
      </w:pPr>
    </w:p>
    <w:p w14:paraId="34374417" w14:textId="1A9A2F02" w:rsidR="005E47AB" w:rsidRPr="00B77EFF" w:rsidRDefault="005E47AB" w:rsidP="005E47AB">
      <w:pPr>
        <w:spacing w:before="120" w:after="120" w:line="360" w:lineRule="auto"/>
        <w:mirrorIndents/>
        <w:jc w:val="both"/>
        <w:rPr>
          <w:rFonts w:ascii="Avenir Next LT Pro" w:eastAsia="Verdana" w:hAnsi="Avenir Next LT Pro" w:cs="Arial"/>
          <w:bCs/>
          <w:color w:val="000000" w:themeColor="text1"/>
          <w:sz w:val="24"/>
          <w:szCs w:val="24"/>
        </w:rPr>
      </w:pPr>
      <w:r w:rsidRPr="00B77EFF">
        <w:rPr>
          <w:rFonts w:ascii="Avenir Next LT Pro" w:eastAsia="Verdana" w:hAnsi="Avenir Next LT Pro" w:cs="Arial"/>
          <w:bCs/>
          <w:color w:val="000000" w:themeColor="text1"/>
          <w:sz w:val="24"/>
          <w:szCs w:val="24"/>
        </w:rPr>
        <w:t xml:space="preserve">El derecho humano a la salud está reconocido por la Constitución Política de los Estados Unidos Mexicanos en su artículo 4°, esto implica que el </w:t>
      </w:r>
      <w:r w:rsidR="006253C0">
        <w:rPr>
          <w:rFonts w:ascii="Avenir Next LT Pro" w:eastAsia="Verdana" w:hAnsi="Avenir Next LT Pro" w:cs="Arial"/>
          <w:bCs/>
          <w:color w:val="000000" w:themeColor="text1"/>
          <w:sz w:val="24"/>
          <w:szCs w:val="24"/>
        </w:rPr>
        <w:t>E</w:t>
      </w:r>
      <w:r w:rsidRPr="00B77EFF">
        <w:rPr>
          <w:rFonts w:ascii="Avenir Next LT Pro" w:eastAsia="Verdana" w:hAnsi="Avenir Next LT Pro" w:cs="Arial"/>
          <w:bCs/>
          <w:color w:val="000000" w:themeColor="text1"/>
          <w:sz w:val="24"/>
          <w:szCs w:val="24"/>
        </w:rPr>
        <w:t xml:space="preserve">stado </w:t>
      </w:r>
      <w:r w:rsidR="006253C0">
        <w:rPr>
          <w:rFonts w:ascii="Avenir Next LT Pro" w:eastAsia="Verdana" w:hAnsi="Avenir Next LT Pro" w:cs="Arial"/>
          <w:bCs/>
          <w:color w:val="000000" w:themeColor="text1"/>
          <w:sz w:val="24"/>
          <w:szCs w:val="24"/>
        </w:rPr>
        <w:t>M</w:t>
      </w:r>
      <w:r w:rsidRPr="00B77EFF">
        <w:rPr>
          <w:rFonts w:ascii="Avenir Next LT Pro" w:eastAsia="Verdana" w:hAnsi="Avenir Next LT Pro" w:cs="Arial"/>
          <w:bCs/>
          <w:color w:val="000000" w:themeColor="text1"/>
          <w:sz w:val="24"/>
          <w:szCs w:val="24"/>
        </w:rPr>
        <w:t xml:space="preserve">exicano la obligación de garantizar el acceso a servicios de salud adecuados, tanto preventivos como curativos. </w:t>
      </w:r>
    </w:p>
    <w:p w14:paraId="05F612BC" w14:textId="77777777" w:rsidR="00ED63FD" w:rsidRPr="00B77EFF" w:rsidRDefault="00ED63FD" w:rsidP="005E47AB">
      <w:pPr>
        <w:spacing w:before="120" w:after="120" w:line="360" w:lineRule="auto"/>
        <w:mirrorIndents/>
        <w:jc w:val="both"/>
        <w:rPr>
          <w:rFonts w:ascii="Avenir Next LT Pro" w:eastAsia="Verdana" w:hAnsi="Avenir Next LT Pro" w:cs="Arial"/>
          <w:bCs/>
          <w:color w:val="000000" w:themeColor="text1"/>
          <w:sz w:val="24"/>
          <w:szCs w:val="24"/>
        </w:rPr>
      </w:pPr>
    </w:p>
    <w:p w14:paraId="43CE422B" w14:textId="6A57B5CF" w:rsidR="005E47AB" w:rsidRPr="00B77EFF" w:rsidRDefault="005E47AB" w:rsidP="005E47AB">
      <w:pPr>
        <w:spacing w:before="120" w:after="120" w:line="360" w:lineRule="auto"/>
        <w:mirrorIndents/>
        <w:jc w:val="both"/>
        <w:rPr>
          <w:rFonts w:ascii="Avenir Next LT Pro" w:eastAsia="Verdana" w:hAnsi="Avenir Next LT Pro" w:cs="Arial"/>
          <w:bCs/>
          <w:color w:val="000000" w:themeColor="text1"/>
          <w:sz w:val="24"/>
          <w:szCs w:val="24"/>
        </w:rPr>
      </w:pPr>
      <w:r w:rsidRPr="00B77EFF">
        <w:rPr>
          <w:rFonts w:ascii="Avenir Next LT Pro" w:eastAsia="Verdana" w:hAnsi="Avenir Next LT Pro" w:cs="Arial"/>
          <w:bCs/>
          <w:color w:val="000000" w:themeColor="text1"/>
          <w:sz w:val="24"/>
          <w:szCs w:val="24"/>
        </w:rPr>
        <w:t>El Pacto Internacional de Derechos Económicos, Sociales y Culturales (PIDESC) Reconoce explícitamente el derecho de toda persona al disfrute del más alto nivel posible de salud física y mental (artículo 12).</w:t>
      </w:r>
    </w:p>
    <w:p w14:paraId="5ACD47EE" w14:textId="77777777" w:rsidR="005E47AB" w:rsidRPr="00B77EFF" w:rsidRDefault="005E47AB" w:rsidP="005E47AB">
      <w:pPr>
        <w:spacing w:before="120" w:after="120" w:line="360" w:lineRule="auto"/>
        <w:mirrorIndents/>
        <w:jc w:val="both"/>
        <w:rPr>
          <w:rFonts w:ascii="Avenir Next LT Pro" w:eastAsia="Verdana" w:hAnsi="Avenir Next LT Pro" w:cs="Arial"/>
          <w:bCs/>
          <w:color w:val="000000" w:themeColor="text1"/>
          <w:sz w:val="24"/>
          <w:szCs w:val="24"/>
        </w:rPr>
      </w:pPr>
    </w:p>
    <w:p w14:paraId="0CD7CDFF" w14:textId="5ECBDBB3" w:rsidR="00624098" w:rsidRDefault="00624098" w:rsidP="005E47AB">
      <w:pPr>
        <w:spacing w:before="120" w:after="120" w:line="360" w:lineRule="auto"/>
        <w:mirrorIndents/>
        <w:jc w:val="both"/>
        <w:rPr>
          <w:rFonts w:ascii="Avenir Next LT Pro" w:eastAsia="Verdana" w:hAnsi="Avenir Next LT Pro" w:cs="Arial"/>
          <w:bCs/>
          <w:color w:val="000000" w:themeColor="text1"/>
          <w:sz w:val="24"/>
          <w:szCs w:val="24"/>
        </w:rPr>
      </w:pPr>
      <w:r w:rsidRPr="00B77EFF">
        <w:rPr>
          <w:rFonts w:ascii="Avenir Next LT Pro" w:eastAsia="Verdana" w:hAnsi="Avenir Next LT Pro" w:cs="Arial"/>
          <w:bCs/>
          <w:color w:val="000000" w:themeColor="text1"/>
          <w:sz w:val="24"/>
          <w:szCs w:val="24"/>
        </w:rPr>
        <w:t>En el mismo contexto, l</w:t>
      </w:r>
      <w:r w:rsidR="005E47AB" w:rsidRPr="00B77EFF">
        <w:rPr>
          <w:rFonts w:ascii="Avenir Next LT Pro" w:eastAsia="Verdana" w:hAnsi="Avenir Next LT Pro" w:cs="Arial"/>
          <w:bCs/>
          <w:color w:val="000000" w:themeColor="text1"/>
          <w:sz w:val="24"/>
          <w:szCs w:val="24"/>
        </w:rPr>
        <w:t xml:space="preserve">a constitución de la </w:t>
      </w:r>
      <w:r w:rsidRPr="00B77EFF">
        <w:rPr>
          <w:rFonts w:ascii="Avenir Next LT Pro" w:eastAsia="Verdana" w:hAnsi="Avenir Next LT Pro" w:cs="Arial"/>
          <w:bCs/>
          <w:color w:val="000000" w:themeColor="text1"/>
          <w:sz w:val="24"/>
          <w:szCs w:val="24"/>
        </w:rPr>
        <w:t xml:space="preserve">Organización </w:t>
      </w:r>
      <w:r w:rsidR="005E47AB" w:rsidRPr="00B77EFF">
        <w:rPr>
          <w:rFonts w:ascii="Avenir Next LT Pro" w:eastAsia="Verdana" w:hAnsi="Avenir Next LT Pro" w:cs="Arial"/>
          <w:bCs/>
          <w:color w:val="000000" w:themeColor="text1"/>
          <w:sz w:val="24"/>
          <w:szCs w:val="24"/>
        </w:rPr>
        <w:t>M</w:t>
      </w:r>
      <w:r w:rsidRPr="00B77EFF">
        <w:rPr>
          <w:rFonts w:ascii="Avenir Next LT Pro" w:eastAsia="Verdana" w:hAnsi="Avenir Next LT Pro" w:cs="Arial"/>
          <w:bCs/>
          <w:color w:val="000000" w:themeColor="text1"/>
          <w:sz w:val="24"/>
          <w:szCs w:val="24"/>
        </w:rPr>
        <w:t xml:space="preserve">undial de la </w:t>
      </w:r>
      <w:r w:rsidR="005E47AB" w:rsidRPr="00B77EFF">
        <w:rPr>
          <w:rFonts w:ascii="Avenir Next LT Pro" w:eastAsia="Verdana" w:hAnsi="Avenir Next LT Pro" w:cs="Arial"/>
          <w:bCs/>
          <w:color w:val="000000" w:themeColor="text1"/>
          <w:sz w:val="24"/>
          <w:szCs w:val="24"/>
        </w:rPr>
        <w:t>S</w:t>
      </w:r>
      <w:r w:rsidRPr="00B77EFF">
        <w:rPr>
          <w:rFonts w:ascii="Avenir Next LT Pro" w:eastAsia="Verdana" w:hAnsi="Avenir Next LT Pro" w:cs="Arial"/>
          <w:bCs/>
          <w:color w:val="000000" w:themeColor="text1"/>
          <w:sz w:val="24"/>
          <w:szCs w:val="24"/>
        </w:rPr>
        <w:t>alud</w:t>
      </w:r>
      <w:r w:rsidR="005E47AB" w:rsidRPr="00B77EFF">
        <w:rPr>
          <w:rFonts w:ascii="Avenir Next LT Pro" w:eastAsia="Verdana" w:hAnsi="Avenir Next LT Pro" w:cs="Arial"/>
          <w:bCs/>
          <w:color w:val="000000" w:themeColor="text1"/>
          <w:sz w:val="24"/>
          <w:szCs w:val="24"/>
        </w:rPr>
        <w:t xml:space="preserve"> establece que el goce del grado máximo de salud que se pueda lograr es uno de los derechos fundamentales de todo ser humano.</w:t>
      </w:r>
    </w:p>
    <w:p w14:paraId="2F874934" w14:textId="77777777" w:rsidR="00B77EFF" w:rsidRPr="00B77EFF" w:rsidRDefault="00B77EFF" w:rsidP="005E47AB">
      <w:pPr>
        <w:spacing w:before="120" w:after="120" w:line="360" w:lineRule="auto"/>
        <w:mirrorIndents/>
        <w:jc w:val="both"/>
        <w:rPr>
          <w:rFonts w:ascii="Avenir Next LT Pro" w:eastAsia="Verdana" w:hAnsi="Avenir Next LT Pro" w:cs="Arial"/>
          <w:bCs/>
          <w:color w:val="000000" w:themeColor="text1"/>
          <w:sz w:val="24"/>
          <w:szCs w:val="24"/>
        </w:rPr>
      </w:pPr>
    </w:p>
    <w:p w14:paraId="34861B64" w14:textId="77777777" w:rsidR="00624098" w:rsidRPr="00624098" w:rsidRDefault="00624098" w:rsidP="00624098">
      <w:pPr>
        <w:spacing w:before="120" w:after="120" w:line="360" w:lineRule="auto"/>
        <w:mirrorIndents/>
        <w:jc w:val="both"/>
        <w:rPr>
          <w:rFonts w:ascii="Avenir Next LT Pro" w:hAnsi="Avenir Next LT Pro" w:cs="Arial"/>
          <w:sz w:val="24"/>
          <w:szCs w:val="24"/>
        </w:rPr>
      </w:pPr>
      <w:r w:rsidRPr="00624098">
        <w:rPr>
          <w:rFonts w:ascii="Avenir Next LT Pro" w:hAnsi="Avenir Next LT Pro" w:cs="Arial"/>
          <w:sz w:val="24"/>
          <w:szCs w:val="24"/>
        </w:rPr>
        <w:t>El derecho humano a la salud implica que cada individuo tiene acceso al diagnóstico y tratamiento oportuno y eficaz de enfermedades, como el cáncer. Este derecho fundamental asegura que todas las personas, independientemente de su origen o situación, puedan recibir atención médica de calidad para detectar precozmente el cáncer y mejorar sus posibilidades de tratamiento y recuperación.</w:t>
      </w:r>
    </w:p>
    <w:p w14:paraId="64189B0C" w14:textId="77777777" w:rsidR="00ED63FD" w:rsidRDefault="00ED63FD" w:rsidP="00624098">
      <w:pPr>
        <w:spacing w:before="120" w:after="120" w:line="360" w:lineRule="auto"/>
        <w:mirrorIndents/>
        <w:jc w:val="both"/>
        <w:rPr>
          <w:rFonts w:ascii="Avenir Next LT Pro" w:hAnsi="Avenir Next LT Pro" w:cs="Arial"/>
          <w:sz w:val="24"/>
          <w:szCs w:val="24"/>
        </w:rPr>
      </w:pPr>
    </w:p>
    <w:p w14:paraId="479A0C52" w14:textId="1662B724" w:rsidR="00624098" w:rsidRPr="00624098" w:rsidRDefault="00624098" w:rsidP="00624098">
      <w:pPr>
        <w:spacing w:before="120" w:after="120" w:line="360" w:lineRule="auto"/>
        <w:mirrorIndents/>
        <w:jc w:val="both"/>
        <w:rPr>
          <w:rFonts w:ascii="Avenir Next LT Pro" w:hAnsi="Avenir Next LT Pro" w:cs="Arial"/>
          <w:sz w:val="24"/>
          <w:szCs w:val="24"/>
        </w:rPr>
      </w:pPr>
      <w:r w:rsidRPr="00624098">
        <w:rPr>
          <w:rFonts w:ascii="Avenir Next LT Pro" w:hAnsi="Avenir Next LT Pro" w:cs="Arial"/>
          <w:sz w:val="24"/>
          <w:szCs w:val="24"/>
        </w:rPr>
        <w:t>Asegurar el derecho a la salud en términos de diagnóstico y tratamiento de cáncer no solo salva vidas, sino también mejora la calidad de vida de quienes enfrentan esta enfermedad. Promueve una sociedad donde todos puedan enfrentarse al cáncer con las mejores oportunidades de tratamiento y recuperación, respetando su dignidad y derechos.</w:t>
      </w:r>
    </w:p>
    <w:p w14:paraId="7BD78BD7" w14:textId="77777777" w:rsidR="00624098" w:rsidRPr="00624098" w:rsidRDefault="00624098" w:rsidP="00624098">
      <w:pPr>
        <w:spacing w:before="120" w:after="120" w:line="360" w:lineRule="auto"/>
        <w:mirrorIndents/>
        <w:jc w:val="both"/>
        <w:rPr>
          <w:rFonts w:ascii="Avenir Next LT Pro" w:hAnsi="Avenir Next LT Pro" w:cs="Arial"/>
          <w:sz w:val="24"/>
          <w:szCs w:val="24"/>
        </w:rPr>
      </w:pPr>
    </w:p>
    <w:p w14:paraId="7760CF7E" w14:textId="78BADA13" w:rsidR="0045420F" w:rsidRPr="0045420F" w:rsidRDefault="0045420F" w:rsidP="0045420F">
      <w:pPr>
        <w:spacing w:before="120" w:after="120" w:line="360" w:lineRule="auto"/>
        <w:mirrorIndents/>
        <w:jc w:val="both"/>
        <w:rPr>
          <w:rFonts w:ascii="Avenir Next LT Pro" w:hAnsi="Avenir Next LT Pro" w:cs="Arial"/>
          <w:sz w:val="24"/>
          <w:szCs w:val="24"/>
        </w:rPr>
      </w:pPr>
      <w:r w:rsidRPr="0045420F">
        <w:rPr>
          <w:rFonts w:ascii="Avenir Next LT Pro" w:hAnsi="Avenir Next LT Pro" w:cs="Arial"/>
          <w:sz w:val="24"/>
          <w:szCs w:val="24"/>
        </w:rPr>
        <w:t xml:space="preserve">La detección </w:t>
      </w:r>
      <w:r>
        <w:rPr>
          <w:rFonts w:ascii="Avenir Next LT Pro" w:hAnsi="Avenir Next LT Pro" w:cs="Arial"/>
          <w:sz w:val="24"/>
          <w:szCs w:val="24"/>
        </w:rPr>
        <w:t>temprana</w:t>
      </w:r>
      <w:r w:rsidRPr="0045420F">
        <w:rPr>
          <w:rFonts w:ascii="Avenir Next LT Pro" w:hAnsi="Avenir Next LT Pro" w:cs="Arial"/>
          <w:sz w:val="24"/>
          <w:szCs w:val="24"/>
        </w:rPr>
        <w:t xml:space="preserve"> es esencial para un tratamiento oncológico eficaz. En México, prevalece la problemática de diagnósticos retrasados, especialmente en </w:t>
      </w:r>
      <w:r w:rsidRPr="0045420F">
        <w:rPr>
          <w:rFonts w:ascii="Avenir Next LT Pro" w:hAnsi="Avenir Next LT Pro" w:cs="Arial"/>
          <w:sz w:val="24"/>
          <w:szCs w:val="24"/>
        </w:rPr>
        <w:lastRenderedPageBreak/>
        <w:t>áreas rurales y marginalizadas. La detección en etapas avanzadas es común debido a la falta de servicios médicos especializados y a barreras culturales y socioeconómicas.</w:t>
      </w:r>
    </w:p>
    <w:p w14:paraId="58050C48" w14:textId="77777777" w:rsidR="0045420F" w:rsidRPr="0045420F" w:rsidRDefault="0045420F" w:rsidP="0045420F">
      <w:pPr>
        <w:spacing w:before="120" w:after="120" w:line="360" w:lineRule="auto"/>
        <w:mirrorIndents/>
        <w:jc w:val="both"/>
        <w:rPr>
          <w:rFonts w:ascii="Avenir Next LT Pro" w:hAnsi="Avenir Next LT Pro" w:cs="Arial"/>
          <w:sz w:val="24"/>
          <w:szCs w:val="24"/>
        </w:rPr>
      </w:pPr>
    </w:p>
    <w:p w14:paraId="54B51B91" w14:textId="77777777" w:rsidR="0045420F" w:rsidRPr="0045420F" w:rsidRDefault="0045420F" w:rsidP="0045420F">
      <w:pPr>
        <w:spacing w:before="120" w:after="120" w:line="360" w:lineRule="auto"/>
        <w:mirrorIndents/>
        <w:jc w:val="both"/>
        <w:rPr>
          <w:rFonts w:ascii="Avenir Next LT Pro" w:hAnsi="Avenir Next LT Pro" w:cs="Arial"/>
          <w:sz w:val="24"/>
          <w:szCs w:val="24"/>
        </w:rPr>
      </w:pPr>
      <w:r w:rsidRPr="0045420F">
        <w:rPr>
          <w:rFonts w:ascii="Avenir Next LT Pro" w:hAnsi="Avenir Next LT Pro" w:cs="Arial"/>
          <w:sz w:val="24"/>
          <w:szCs w:val="24"/>
        </w:rPr>
        <w:t>La inequidad en la disponibilidad de diagnósticos y tratamientos oncológicos es notable. Mientras que metrópolis como Ciudad de México, Guadalajara y Monterrey disponen de instituciones avanzadas en oncología, las regiones rurales enfrentan un déficit de acceso a estos recursos.</w:t>
      </w:r>
    </w:p>
    <w:p w14:paraId="42EF7BB7" w14:textId="77777777" w:rsidR="0045420F" w:rsidRPr="0045420F" w:rsidRDefault="0045420F" w:rsidP="0045420F">
      <w:pPr>
        <w:spacing w:before="120" w:after="120" w:line="360" w:lineRule="auto"/>
        <w:mirrorIndents/>
        <w:jc w:val="both"/>
        <w:rPr>
          <w:rFonts w:ascii="Avenir Next LT Pro" w:hAnsi="Avenir Next LT Pro" w:cs="Arial"/>
          <w:sz w:val="24"/>
          <w:szCs w:val="24"/>
        </w:rPr>
      </w:pPr>
    </w:p>
    <w:p w14:paraId="2EE36ECB" w14:textId="77777777" w:rsidR="0045420F" w:rsidRDefault="0045420F" w:rsidP="0045420F">
      <w:pPr>
        <w:spacing w:before="120" w:after="120" w:line="360" w:lineRule="auto"/>
        <w:mirrorIndents/>
        <w:jc w:val="both"/>
        <w:rPr>
          <w:rFonts w:ascii="Avenir Next LT Pro" w:hAnsi="Avenir Next LT Pro" w:cs="Arial"/>
          <w:sz w:val="24"/>
          <w:szCs w:val="24"/>
        </w:rPr>
      </w:pPr>
      <w:r w:rsidRPr="0045420F">
        <w:rPr>
          <w:rFonts w:ascii="Avenir Next LT Pro" w:hAnsi="Avenir Next LT Pro" w:cs="Arial"/>
          <w:sz w:val="24"/>
          <w:szCs w:val="24"/>
        </w:rPr>
        <w:t>Pese al progreso en infraestructura oncológica, la capacidad de tratamiento sigue sin satisfacer la demanda incrementada. Se observan extensos periodos de espera para acceder a terapias como quimioterapia y radioterapia en diversos hospitales públicos.</w:t>
      </w:r>
    </w:p>
    <w:p w14:paraId="681B347E" w14:textId="77777777" w:rsidR="003C0493" w:rsidRDefault="003C0493" w:rsidP="0045420F">
      <w:pPr>
        <w:spacing w:before="120" w:after="120" w:line="360" w:lineRule="auto"/>
        <w:mirrorIndents/>
        <w:jc w:val="both"/>
        <w:rPr>
          <w:rFonts w:ascii="Avenir Next LT Pro" w:hAnsi="Avenir Next LT Pro" w:cs="Arial"/>
          <w:sz w:val="24"/>
          <w:szCs w:val="24"/>
        </w:rPr>
      </w:pPr>
    </w:p>
    <w:p w14:paraId="5496990F" w14:textId="77777777" w:rsidR="003C0493" w:rsidRPr="003C0493" w:rsidRDefault="003C0493" w:rsidP="003C0493">
      <w:pPr>
        <w:spacing w:before="120" w:after="120" w:line="360" w:lineRule="auto"/>
        <w:mirrorIndents/>
        <w:jc w:val="both"/>
        <w:rPr>
          <w:rFonts w:ascii="Avenir Next LT Pro" w:hAnsi="Avenir Next LT Pro" w:cs="Arial"/>
          <w:sz w:val="24"/>
          <w:szCs w:val="24"/>
        </w:rPr>
      </w:pPr>
      <w:r w:rsidRPr="003C0493">
        <w:rPr>
          <w:rFonts w:ascii="Avenir Next LT Pro" w:hAnsi="Avenir Next LT Pro" w:cs="Arial"/>
          <w:sz w:val="24"/>
          <w:szCs w:val="24"/>
        </w:rPr>
        <w:t>Según información del Instituto Nacional de Estadística y Geografía (INEGI):</w:t>
      </w:r>
      <w:r w:rsidRPr="003C0493">
        <w:rPr>
          <w:rFonts w:ascii="Avenir Next LT Pro" w:hAnsi="Avenir Next LT Pro" w:cs="Arial"/>
          <w:sz w:val="24"/>
          <w:szCs w:val="24"/>
        </w:rPr>
        <w:footnoteReference w:id="1"/>
      </w:r>
    </w:p>
    <w:p w14:paraId="307AC944" w14:textId="77777777" w:rsidR="003C0493" w:rsidRPr="003C0493" w:rsidRDefault="003C0493" w:rsidP="003C0493">
      <w:pPr>
        <w:numPr>
          <w:ilvl w:val="0"/>
          <w:numId w:val="13"/>
        </w:numPr>
        <w:spacing w:before="120" w:after="120" w:line="360" w:lineRule="auto"/>
        <w:mirrorIndents/>
        <w:jc w:val="both"/>
        <w:rPr>
          <w:rFonts w:ascii="Avenir Next LT Pro" w:hAnsi="Avenir Next LT Pro" w:cs="Arial"/>
          <w:sz w:val="24"/>
          <w:szCs w:val="24"/>
        </w:rPr>
      </w:pPr>
      <w:r w:rsidRPr="003C0493">
        <w:rPr>
          <w:rFonts w:ascii="Avenir Next LT Pro" w:hAnsi="Avenir Next LT Pro" w:cs="Arial"/>
          <w:sz w:val="24"/>
          <w:szCs w:val="24"/>
        </w:rPr>
        <w:t>En 2022, en México se registraron 847 716 defunciones: 10.6 % fue por tumores malignos (89 574). La tasa de defunciones por esta causa aumentó de forma constante, al pasar de 62.04 defunciones por cada 100 mil personas en 2012, a 68.92 en 2022.</w:t>
      </w:r>
    </w:p>
    <w:p w14:paraId="7187EFFF" w14:textId="5B67231A" w:rsidR="003C0493" w:rsidRPr="003C0493" w:rsidRDefault="003C0493" w:rsidP="003C0493">
      <w:pPr>
        <w:numPr>
          <w:ilvl w:val="0"/>
          <w:numId w:val="13"/>
        </w:numPr>
        <w:spacing w:before="120" w:after="120" w:line="360" w:lineRule="auto"/>
        <w:mirrorIndents/>
        <w:jc w:val="both"/>
        <w:rPr>
          <w:rFonts w:ascii="Avenir Next LT Pro" w:hAnsi="Avenir Next LT Pro" w:cs="Arial"/>
          <w:sz w:val="24"/>
          <w:szCs w:val="24"/>
        </w:rPr>
      </w:pPr>
      <w:r w:rsidRPr="003C0493">
        <w:rPr>
          <w:rFonts w:ascii="Avenir Next LT Pro" w:hAnsi="Avenir Next LT Pro" w:cs="Arial"/>
          <w:sz w:val="24"/>
          <w:szCs w:val="24"/>
        </w:rPr>
        <w:t xml:space="preserve">En 2022, las entidades federativas que registraron las tasas más altas de defunciones por tumores malignos fueron: Ciudad de México, Sonora, </w:t>
      </w:r>
      <w:r w:rsidRPr="003C0493">
        <w:rPr>
          <w:rFonts w:ascii="Avenir Next LT Pro" w:hAnsi="Avenir Next LT Pro" w:cs="Arial"/>
          <w:sz w:val="24"/>
          <w:szCs w:val="24"/>
        </w:rPr>
        <w:lastRenderedPageBreak/>
        <w:t xml:space="preserve">Veracruz de Ignacio de la Llave, Colima, Morelos y Chihuahua, con tasas de 76.39 a 95.96 defunciones por cada 100 mil </w:t>
      </w:r>
      <w:r w:rsidR="00C27748" w:rsidRPr="003C0493">
        <w:rPr>
          <w:rFonts w:ascii="Avenir Next LT Pro" w:hAnsi="Avenir Next LT Pro" w:cs="Arial"/>
          <w:sz w:val="24"/>
          <w:szCs w:val="24"/>
        </w:rPr>
        <w:t>habitantes.</w:t>
      </w:r>
    </w:p>
    <w:p w14:paraId="34EAA3C0" w14:textId="77777777" w:rsidR="00B77EFF" w:rsidRDefault="00B77EFF" w:rsidP="0045420F">
      <w:pPr>
        <w:spacing w:before="120" w:after="120" w:line="360" w:lineRule="auto"/>
        <w:mirrorIndents/>
        <w:jc w:val="both"/>
        <w:rPr>
          <w:rFonts w:ascii="Avenir Next LT Pro" w:hAnsi="Avenir Next LT Pro" w:cs="Arial"/>
          <w:sz w:val="24"/>
          <w:szCs w:val="24"/>
        </w:rPr>
      </w:pPr>
    </w:p>
    <w:p w14:paraId="4ACE1477" w14:textId="0E7E441F" w:rsidR="003C0493" w:rsidRDefault="00B77EFF" w:rsidP="0045420F">
      <w:pPr>
        <w:spacing w:before="120" w:after="120" w:line="360" w:lineRule="auto"/>
        <w:mirrorIndents/>
        <w:jc w:val="both"/>
        <w:rPr>
          <w:rFonts w:ascii="Avenir Next LT Pro" w:hAnsi="Avenir Next LT Pro" w:cs="Arial"/>
          <w:sz w:val="24"/>
          <w:szCs w:val="24"/>
        </w:rPr>
      </w:pPr>
      <w:r w:rsidRPr="00B77EFF">
        <w:rPr>
          <w:rFonts w:ascii="Avenir Next LT Pro" w:hAnsi="Avenir Next LT Pro" w:cs="Arial"/>
          <w:bCs/>
          <w:sz w:val="24"/>
          <w:szCs w:val="24"/>
        </w:rPr>
        <w:t>Promover políticas de salud inclusivas y equitativas es fundamental para garantizar este derecho a todas las personas.</w:t>
      </w:r>
      <w:r>
        <w:rPr>
          <w:rFonts w:ascii="Avenir Next LT Pro" w:hAnsi="Avenir Next LT Pro" w:cs="Arial"/>
          <w:bCs/>
          <w:sz w:val="24"/>
          <w:szCs w:val="24"/>
        </w:rPr>
        <w:t xml:space="preserve"> </w:t>
      </w:r>
      <w:r w:rsidR="0045420F">
        <w:rPr>
          <w:rFonts w:ascii="Avenir Next LT Pro" w:hAnsi="Avenir Next LT Pro" w:cs="Arial"/>
          <w:sz w:val="24"/>
          <w:szCs w:val="24"/>
        </w:rPr>
        <w:t xml:space="preserve">Es </w:t>
      </w:r>
      <w:r w:rsidR="00C27748">
        <w:rPr>
          <w:rFonts w:ascii="Avenir Next LT Pro" w:hAnsi="Avenir Next LT Pro" w:cs="Arial"/>
          <w:sz w:val="24"/>
          <w:szCs w:val="24"/>
        </w:rPr>
        <w:t>por lo que</w:t>
      </w:r>
      <w:r w:rsidR="0045420F">
        <w:rPr>
          <w:rFonts w:ascii="Avenir Next LT Pro" w:hAnsi="Avenir Next LT Pro" w:cs="Arial"/>
          <w:sz w:val="24"/>
          <w:szCs w:val="24"/>
        </w:rPr>
        <w:t xml:space="preserve"> una política </w:t>
      </w:r>
      <w:r w:rsidR="00C27748">
        <w:rPr>
          <w:rFonts w:ascii="Avenir Next LT Pro" w:hAnsi="Avenir Next LT Pro" w:cs="Arial"/>
          <w:sz w:val="24"/>
          <w:szCs w:val="24"/>
        </w:rPr>
        <w:t>pública</w:t>
      </w:r>
      <w:r w:rsidR="0045420F">
        <w:rPr>
          <w:rFonts w:ascii="Avenir Next LT Pro" w:hAnsi="Avenir Next LT Pro" w:cs="Arial"/>
          <w:sz w:val="24"/>
          <w:szCs w:val="24"/>
        </w:rPr>
        <w:t xml:space="preserve"> eficaz en materia de salud por lo que al cáncer se refiere debe contemplar por lo </w:t>
      </w:r>
      <w:r>
        <w:rPr>
          <w:rFonts w:ascii="Avenir Next LT Pro" w:hAnsi="Avenir Next LT Pro" w:cs="Arial"/>
          <w:sz w:val="24"/>
          <w:szCs w:val="24"/>
        </w:rPr>
        <w:t>menos dos</w:t>
      </w:r>
      <w:r w:rsidR="0045420F">
        <w:rPr>
          <w:rFonts w:ascii="Avenir Next LT Pro" w:hAnsi="Avenir Next LT Pro" w:cs="Arial"/>
          <w:sz w:val="24"/>
          <w:szCs w:val="24"/>
        </w:rPr>
        <w:t xml:space="preserve"> aspectos fundamentales:</w:t>
      </w:r>
    </w:p>
    <w:p w14:paraId="467744F8" w14:textId="77777777" w:rsidR="00E13A92" w:rsidRPr="003C0493" w:rsidRDefault="00E13A92" w:rsidP="0045420F">
      <w:pPr>
        <w:spacing w:before="120" w:after="120" w:line="360" w:lineRule="auto"/>
        <w:mirrorIndents/>
        <w:jc w:val="both"/>
        <w:rPr>
          <w:rFonts w:ascii="Avenir Next LT Pro" w:hAnsi="Avenir Next LT Pro" w:cs="Arial"/>
          <w:sz w:val="24"/>
          <w:szCs w:val="24"/>
        </w:rPr>
      </w:pPr>
    </w:p>
    <w:p w14:paraId="17BBCA02" w14:textId="0B8BB142" w:rsidR="00B77EFF" w:rsidRDefault="0045420F" w:rsidP="003C0493">
      <w:pPr>
        <w:pStyle w:val="Prrafodelista"/>
        <w:numPr>
          <w:ilvl w:val="0"/>
          <w:numId w:val="11"/>
        </w:numPr>
        <w:spacing w:before="120" w:after="120" w:line="360" w:lineRule="auto"/>
        <w:ind w:left="1418" w:hanging="1134"/>
        <w:mirrorIndents/>
        <w:jc w:val="both"/>
        <w:rPr>
          <w:rFonts w:ascii="Avenir Next LT Pro" w:hAnsi="Avenir Next LT Pro" w:cs="Arial"/>
        </w:rPr>
      </w:pPr>
      <w:r w:rsidRPr="00B77EFF">
        <w:rPr>
          <w:rFonts w:ascii="Avenir Next LT Pro" w:hAnsi="Avenir Next LT Pro" w:cs="Arial"/>
          <w:b/>
          <w:bCs/>
        </w:rPr>
        <w:t>Detección Temprana:</w:t>
      </w:r>
      <w:r w:rsidRPr="00B77EFF">
        <w:rPr>
          <w:rFonts w:ascii="Avenir Next LT Pro" w:hAnsi="Avenir Next LT Pro" w:cs="Arial"/>
        </w:rPr>
        <w:t xml:space="preserve"> Garantizar que todos tengan acceso a pruebas de detección temprana del cáncer, lo cual es crucial para un tratamiento exitoso.</w:t>
      </w:r>
    </w:p>
    <w:p w14:paraId="2730B6BB" w14:textId="6C7B06E9" w:rsidR="0045420F" w:rsidRDefault="0045420F" w:rsidP="003C0493">
      <w:pPr>
        <w:pStyle w:val="Prrafodelista"/>
        <w:numPr>
          <w:ilvl w:val="0"/>
          <w:numId w:val="11"/>
        </w:numPr>
        <w:spacing w:before="120" w:after="120" w:line="360" w:lineRule="auto"/>
        <w:ind w:left="1418" w:hanging="1134"/>
        <w:mirrorIndents/>
        <w:jc w:val="both"/>
        <w:rPr>
          <w:rFonts w:ascii="Avenir Next LT Pro" w:hAnsi="Avenir Next LT Pro" w:cs="Arial"/>
        </w:rPr>
      </w:pPr>
      <w:r w:rsidRPr="00B77EFF">
        <w:rPr>
          <w:rFonts w:ascii="Avenir Next LT Pro" w:hAnsi="Avenir Next LT Pro" w:cs="Arial"/>
          <w:b/>
          <w:bCs/>
        </w:rPr>
        <w:t>Acceso a Tratamiento:</w:t>
      </w:r>
      <w:r w:rsidRPr="00B77EFF">
        <w:rPr>
          <w:rFonts w:ascii="Avenir Next LT Pro" w:hAnsi="Avenir Next LT Pro" w:cs="Arial"/>
        </w:rPr>
        <w:t xml:space="preserve"> Asegurar que las terapias y medicamentos necesarios para el tratamiento del cáncer estén disponibles, accesibles y sean asequibles para todos.</w:t>
      </w:r>
    </w:p>
    <w:p w14:paraId="0D5927F3" w14:textId="77777777" w:rsidR="003C0493" w:rsidRPr="00B77EFF" w:rsidRDefault="003C0493" w:rsidP="003C0493">
      <w:pPr>
        <w:pStyle w:val="Prrafodelista"/>
        <w:spacing w:before="120" w:after="120" w:line="360" w:lineRule="auto"/>
        <w:ind w:left="1418"/>
        <w:mirrorIndents/>
        <w:jc w:val="both"/>
        <w:rPr>
          <w:rFonts w:ascii="Avenir Next LT Pro" w:hAnsi="Avenir Next LT Pro" w:cs="Arial"/>
        </w:rPr>
      </w:pPr>
    </w:p>
    <w:p w14:paraId="31175069" w14:textId="1A3830F9" w:rsidR="00740300" w:rsidRDefault="00303D76" w:rsidP="00675E6B">
      <w:pPr>
        <w:spacing w:before="120" w:after="120" w:line="360" w:lineRule="auto"/>
        <w:mirrorIndents/>
        <w:jc w:val="both"/>
        <w:rPr>
          <w:rFonts w:ascii="Avenir Next LT Pro" w:hAnsi="Avenir Next LT Pro" w:cs="Arial"/>
          <w:sz w:val="24"/>
          <w:szCs w:val="24"/>
        </w:rPr>
      </w:pPr>
      <w:r w:rsidRPr="00303D76">
        <w:rPr>
          <w:rFonts w:ascii="Avenir Next LT Pro" w:hAnsi="Avenir Next LT Pro" w:cs="Arial"/>
          <w:sz w:val="24"/>
          <w:szCs w:val="24"/>
        </w:rPr>
        <w:t xml:space="preserve">Por lo anteriormente expuesto, me permito someter a consideración de esta Soberanía, </w:t>
      </w:r>
      <w:r w:rsidR="00C54705">
        <w:rPr>
          <w:rFonts w:ascii="Avenir Next LT Pro" w:hAnsi="Avenir Next LT Pro" w:cs="Arial"/>
          <w:sz w:val="24"/>
          <w:szCs w:val="24"/>
        </w:rPr>
        <w:t>la presente iniciativa</w:t>
      </w:r>
      <w:r w:rsidRPr="00303D76">
        <w:rPr>
          <w:rFonts w:ascii="Avenir Next LT Pro" w:hAnsi="Avenir Next LT Pro" w:cs="Arial"/>
          <w:sz w:val="24"/>
          <w:szCs w:val="24"/>
        </w:rPr>
        <w:t xml:space="preserve"> con carácter de:</w:t>
      </w:r>
    </w:p>
    <w:p w14:paraId="046CCB99" w14:textId="77777777" w:rsidR="00E13A92" w:rsidRPr="00B67FE6" w:rsidRDefault="00E13A92" w:rsidP="00675E6B">
      <w:pPr>
        <w:spacing w:before="120" w:after="120" w:line="360" w:lineRule="auto"/>
        <w:mirrorIndents/>
        <w:jc w:val="both"/>
        <w:rPr>
          <w:rFonts w:ascii="Avenir Next LT Pro" w:hAnsi="Avenir Next LT Pro" w:cs="Arial"/>
          <w:sz w:val="24"/>
          <w:szCs w:val="24"/>
        </w:rPr>
      </w:pPr>
    </w:p>
    <w:p w14:paraId="0082FFC9" w14:textId="2D4FB761" w:rsidR="00740300" w:rsidRDefault="009F0E43" w:rsidP="002558E7">
      <w:pPr>
        <w:spacing w:before="120" w:after="120" w:line="360" w:lineRule="auto"/>
        <w:mirrorIndents/>
        <w:jc w:val="center"/>
        <w:rPr>
          <w:rFonts w:ascii="Avenir Next LT Pro" w:hAnsi="Avenir Next LT Pro" w:cs="Arial"/>
          <w:b/>
          <w:bCs/>
          <w:sz w:val="24"/>
          <w:szCs w:val="24"/>
        </w:rPr>
      </w:pPr>
      <w:r w:rsidRPr="00C54705">
        <w:rPr>
          <w:rFonts w:ascii="Avenir Next LT Pro" w:hAnsi="Avenir Next LT Pro" w:cs="Arial"/>
          <w:b/>
          <w:bCs/>
          <w:sz w:val="24"/>
          <w:szCs w:val="24"/>
        </w:rPr>
        <w:t>DECRETO</w:t>
      </w:r>
    </w:p>
    <w:p w14:paraId="7F73652A" w14:textId="77777777" w:rsidR="00E13A92" w:rsidRPr="00C54705" w:rsidRDefault="00E13A92" w:rsidP="002558E7">
      <w:pPr>
        <w:spacing w:before="120" w:after="120" w:line="360" w:lineRule="auto"/>
        <w:mirrorIndents/>
        <w:jc w:val="center"/>
        <w:rPr>
          <w:rFonts w:ascii="Avenir Next LT Pro" w:hAnsi="Avenir Next LT Pro" w:cs="Arial"/>
          <w:b/>
          <w:bCs/>
          <w:sz w:val="24"/>
          <w:szCs w:val="24"/>
        </w:rPr>
      </w:pPr>
    </w:p>
    <w:p w14:paraId="3734A0A9" w14:textId="497520C7" w:rsidR="007751F8" w:rsidRDefault="00C54705" w:rsidP="002558E7">
      <w:pPr>
        <w:spacing w:before="120" w:after="120" w:line="360" w:lineRule="auto"/>
        <w:mirrorIndents/>
        <w:jc w:val="both"/>
        <w:rPr>
          <w:rFonts w:ascii="Avenir Next LT Pro" w:hAnsi="Avenir Next LT Pro" w:cs="Arial"/>
          <w:b/>
          <w:bCs/>
          <w:sz w:val="24"/>
          <w:szCs w:val="24"/>
        </w:rPr>
      </w:pPr>
      <w:proofErr w:type="gramStart"/>
      <w:r>
        <w:rPr>
          <w:rFonts w:ascii="Avenir Next LT Pro" w:hAnsi="Avenir Next LT Pro" w:cs="Arial"/>
          <w:b/>
          <w:bCs/>
          <w:sz w:val="24"/>
          <w:szCs w:val="24"/>
        </w:rPr>
        <w:t>Único</w:t>
      </w:r>
      <w:r w:rsidR="00A14A23" w:rsidRPr="00C54705">
        <w:rPr>
          <w:rFonts w:ascii="Avenir Next LT Pro" w:hAnsi="Avenir Next LT Pro" w:cs="Arial"/>
          <w:b/>
          <w:bCs/>
          <w:sz w:val="24"/>
          <w:szCs w:val="24"/>
        </w:rPr>
        <w:t>.-</w:t>
      </w:r>
      <w:proofErr w:type="gramEnd"/>
      <w:r w:rsidR="006568C3" w:rsidRPr="003F2163">
        <w:rPr>
          <w:rFonts w:ascii="Avenir Next LT Pro" w:hAnsi="Avenir Next LT Pro" w:cs="Arial"/>
          <w:sz w:val="24"/>
          <w:szCs w:val="24"/>
        </w:rPr>
        <w:t xml:space="preserve"> L</w:t>
      </w:r>
      <w:r w:rsidR="003F2163" w:rsidRPr="003F2163">
        <w:rPr>
          <w:rFonts w:ascii="Avenir Next LT Pro" w:hAnsi="Avenir Next LT Pro" w:cs="Arial"/>
          <w:sz w:val="24"/>
          <w:szCs w:val="24"/>
        </w:rPr>
        <w:t xml:space="preserve">a </w:t>
      </w:r>
      <w:r w:rsidR="003F2163">
        <w:rPr>
          <w:rFonts w:ascii="Avenir Next LT Pro" w:hAnsi="Avenir Next LT Pro" w:cs="Arial"/>
          <w:sz w:val="24"/>
          <w:szCs w:val="24"/>
        </w:rPr>
        <w:t>S</w:t>
      </w:r>
      <w:r w:rsidR="003F2163" w:rsidRPr="003F2163">
        <w:rPr>
          <w:rFonts w:ascii="Avenir Next LT Pro" w:hAnsi="Avenir Next LT Pro" w:cs="Arial"/>
          <w:sz w:val="24"/>
          <w:szCs w:val="24"/>
        </w:rPr>
        <w:t xml:space="preserve">exagésima </w:t>
      </w:r>
      <w:r w:rsidR="003F2163">
        <w:rPr>
          <w:rFonts w:ascii="Avenir Next LT Pro" w:hAnsi="Avenir Next LT Pro" w:cs="Arial"/>
          <w:sz w:val="24"/>
          <w:szCs w:val="24"/>
        </w:rPr>
        <w:t>O</w:t>
      </w:r>
      <w:r w:rsidR="003F2163" w:rsidRPr="003F2163">
        <w:rPr>
          <w:rFonts w:ascii="Avenir Next LT Pro" w:hAnsi="Avenir Next LT Pro" w:cs="Arial"/>
          <w:sz w:val="24"/>
          <w:szCs w:val="24"/>
        </w:rPr>
        <w:t xml:space="preserve">ctava </w:t>
      </w:r>
      <w:r w:rsidR="003F2163">
        <w:rPr>
          <w:rFonts w:ascii="Avenir Next LT Pro" w:hAnsi="Avenir Next LT Pro" w:cs="Arial"/>
          <w:sz w:val="24"/>
          <w:szCs w:val="24"/>
        </w:rPr>
        <w:t>L</w:t>
      </w:r>
      <w:r w:rsidR="003F2163" w:rsidRPr="003F2163">
        <w:rPr>
          <w:rFonts w:ascii="Avenir Next LT Pro" w:hAnsi="Avenir Next LT Pro" w:cs="Arial"/>
          <w:sz w:val="24"/>
          <w:szCs w:val="24"/>
        </w:rPr>
        <w:t xml:space="preserve">egislatura del </w:t>
      </w:r>
      <w:r w:rsidR="003F2163">
        <w:rPr>
          <w:rFonts w:ascii="Avenir Next LT Pro" w:hAnsi="Avenir Next LT Pro" w:cs="Arial"/>
          <w:sz w:val="24"/>
          <w:szCs w:val="24"/>
        </w:rPr>
        <w:t>H</w:t>
      </w:r>
      <w:r w:rsidR="003F2163" w:rsidRPr="003F2163">
        <w:rPr>
          <w:rFonts w:ascii="Avenir Next LT Pro" w:hAnsi="Avenir Next LT Pro" w:cs="Arial"/>
          <w:sz w:val="24"/>
          <w:szCs w:val="24"/>
        </w:rPr>
        <w:t xml:space="preserve">. </w:t>
      </w:r>
      <w:r w:rsidR="003F2163">
        <w:rPr>
          <w:rFonts w:ascii="Avenir Next LT Pro" w:hAnsi="Avenir Next LT Pro" w:cs="Arial"/>
          <w:sz w:val="24"/>
          <w:szCs w:val="24"/>
        </w:rPr>
        <w:t>C</w:t>
      </w:r>
      <w:r w:rsidR="003F2163" w:rsidRPr="003F2163">
        <w:rPr>
          <w:rFonts w:ascii="Avenir Next LT Pro" w:hAnsi="Avenir Next LT Pro" w:cs="Arial"/>
          <w:sz w:val="24"/>
          <w:szCs w:val="24"/>
        </w:rPr>
        <w:t xml:space="preserve">ongreso del </w:t>
      </w:r>
      <w:r w:rsidR="003F2163">
        <w:rPr>
          <w:rFonts w:ascii="Avenir Next LT Pro" w:hAnsi="Avenir Next LT Pro" w:cs="Arial"/>
          <w:sz w:val="24"/>
          <w:szCs w:val="24"/>
        </w:rPr>
        <w:t>E</w:t>
      </w:r>
      <w:r w:rsidR="003F2163" w:rsidRPr="003F2163">
        <w:rPr>
          <w:rFonts w:ascii="Avenir Next LT Pro" w:hAnsi="Avenir Next LT Pro" w:cs="Arial"/>
          <w:sz w:val="24"/>
          <w:szCs w:val="24"/>
        </w:rPr>
        <w:t xml:space="preserve">stado de </w:t>
      </w:r>
      <w:r w:rsidR="003F2163">
        <w:rPr>
          <w:rFonts w:ascii="Avenir Next LT Pro" w:hAnsi="Avenir Next LT Pro" w:cs="Arial"/>
          <w:sz w:val="24"/>
          <w:szCs w:val="24"/>
        </w:rPr>
        <w:t>C</w:t>
      </w:r>
      <w:r w:rsidR="003F2163" w:rsidRPr="003F2163">
        <w:rPr>
          <w:rFonts w:ascii="Avenir Next LT Pro" w:hAnsi="Avenir Next LT Pro" w:cs="Arial"/>
          <w:sz w:val="24"/>
          <w:szCs w:val="24"/>
        </w:rPr>
        <w:t>hihuahua</w:t>
      </w:r>
      <w:r w:rsidR="00395CF3" w:rsidRPr="003F2163">
        <w:rPr>
          <w:rFonts w:ascii="Avenir Next LT Pro" w:hAnsi="Avenir Next LT Pro" w:cs="Arial"/>
          <w:sz w:val="24"/>
          <w:szCs w:val="24"/>
        </w:rPr>
        <w:t xml:space="preserve"> </w:t>
      </w:r>
      <w:r w:rsidR="00C27748" w:rsidRPr="00C27748">
        <w:rPr>
          <w:rFonts w:ascii="Avenir Next LT Pro" w:hAnsi="Avenir Next LT Pro" w:cs="Arial"/>
          <w:b/>
          <w:bCs/>
          <w:sz w:val="24"/>
          <w:szCs w:val="24"/>
        </w:rPr>
        <w:t xml:space="preserve"> ADICIONA al artículo 215, </w:t>
      </w:r>
      <w:r w:rsidR="007751F8" w:rsidRPr="00C27748">
        <w:rPr>
          <w:rFonts w:ascii="Avenir Next LT Pro" w:hAnsi="Avenir Next LT Pro" w:cs="Arial"/>
          <w:b/>
          <w:bCs/>
          <w:sz w:val="24"/>
          <w:szCs w:val="24"/>
        </w:rPr>
        <w:t xml:space="preserve">de la Ley Estatal de Salud, </w:t>
      </w:r>
      <w:r w:rsidR="00C27748" w:rsidRPr="00C27748">
        <w:rPr>
          <w:rFonts w:ascii="Avenir Next LT Pro" w:hAnsi="Avenir Next LT Pro" w:cs="Arial"/>
          <w:b/>
          <w:bCs/>
          <w:sz w:val="24"/>
          <w:szCs w:val="24"/>
        </w:rPr>
        <w:t>un segundo párrafo</w:t>
      </w:r>
      <w:r w:rsidR="007751F8">
        <w:rPr>
          <w:rFonts w:ascii="Avenir Next LT Pro" w:hAnsi="Avenir Next LT Pro" w:cs="Arial"/>
          <w:b/>
          <w:bCs/>
          <w:sz w:val="24"/>
          <w:szCs w:val="24"/>
        </w:rPr>
        <w:t xml:space="preserve"> </w:t>
      </w:r>
      <w:r w:rsidR="00C27748" w:rsidRPr="00C27748">
        <w:rPr>
          <w:rFonts w:ascii="Avenir Next LT Pro" w:hAnsi="Avenir Next LT Pro" w:cs="Arial"/>
          <w:b/>
          <w:bCs/>
          <w:sz w:val="24"/>
          <w:szCs w:val="24"/>
        </w:rPr>
        <w:t xml:space="preserve">para quedar redactados de la siguiente manera: </w:t>
      </w:r>
    </w:p>
    <w:p w14:paraId="3101272E" w14:textId="77777777" w:rsidR="007751F8" w:rsidRDefault="007751F8" w:rsidP="007751F8">
      <w:pPr>
        <w:spacing w:before="120" w:after="120" w:line="360" w:lineRule="auto"/>
        <w:mirrorIndents/>
        <w:rPr>
          <w:rFonts w:ascii="Avenir Next LT Pro" w:hAnsi="Avenir Next LT Pro" w:cs="Arial"/>
          <w:b/>
          <w:bCs/>
          <w:i/>
          <w:iCs/>
          <w:sz w:val="24"/>
          <w:szCs w:val="24"/>
        </w:rPr>
      </w:pPr>
      <w:r w:rsidRPr="007751F8">
        <w:rPr>
          <w:rFonts w:ascii="Avenir Next LT Pro" w:hAnsi="Avenir Next LT Pro" w:cs="Arial"/>
          <w:b/>
          <w:bCs/>
          <w:i/>
          <w:iCs/>
          <w:sz w:val="24"/>
          <w:szCs w:val="24"/>
        </w:rPr>
        <w:lastRenderedPageBreak/>
        <w:t xml:space="preserve">Artículo 215. … </w:t>
      </w:r>
    </w:p>
    <w:p w14:paraId="17EAFD3C" w14:textId="2D0196C1" w:rsidR="007751F8" w:rsidRDefault="007751F8" w:rsidP="007751F8">
      <w:pPr>
        <w:spacing w:before="120" w:after="120" w:line="360" w:lineRule="auto"/>
        <w:mirrorIndents/>
        <w:jc w:val="both"/>
        <w:rPr>
          <w:rFonts w:ascii="Avenir Next LT Pro" w:hAnsi="Avenir Next LT Pro" w:cs="Arial"/>
          <w:b/>
          <w:bCs/>
          <w:i/>
          <w:iCs/>
          <w:sz w:val="24"/>
          <w:szCs w:val="24"/>
        </w:rPr>
      </w:pPr>
      <w:r w:rsidRPr="007751F8">
        <w:rPr>
          <w:rFonts w:ascii="Avenir Next LT Pro" w:hAnsi="Avenir Next LT Pro" w:cs="Arial"/>
          <w:b/>
          <w:bCs/>
          <w:i/>
          <w:iCs/>
          <w:sz w:val="24"/>
          <w:szCs w:val="24"/>
        </w:rPr>
        <w:t>La política de prevención, para promover conductas favorables a la salud que disminuyan la posibilidad de desarrollar estos tipos de cánceres, atenderá a las especificaciones de cada factor de riesgo, de acuerdo con los lineamientos establecidos en las normas oficiales mexicanas correspondientes.</w:t>
      </w:r>
    </w:p>
    <w:p w14:paraId="4C6B3570" w14:textId="77777777" w:rsidR="007751F8" w:rsidRDefault="007751F8" w:rsidP="007751F8">
      <w:pPr>
        <w:spacing w:before="120" w:after="120" w:line="360" w:lineRule="auto"/>
        <w:mirrorIndents/>
        <w:jc w:val="both"/>
        <w:rPr>
          <w:rFonts w:ascii="Avenir Next LT Pro" w:hAnsi="Avenir Next LT Pro" w:cs="Arial"/>
          <w:b/>
          <w:bCs/>
          <w:i/>
          <w:iCs/>
          <w:sz w:val="24"/>
          <w:szCs w:val="24"/>
        </w:rPr>
      </w:pPr>
    </w:p>
    <w:p w14:paraId="17EE9BBA" w14:textId="50318C95" w:rsidR="00C36E72" w:rsidRPr="007751F8" w:rsidRDefault="00C36E72" w:rsidP="002558E7">
      <w:pPr>
        <w:spacing w:before="120" w:after="120" w:line="360" w:lineRule="auto"/>
        <w:mirrorIndents/>
        <w:jc w:val="center"/>
        <w:rPr>
          <w:rFonts w:ascii="Avenir Next LT Pro" w:hAnsi="Avenir Next LT Pro" w:cs="Arial"/>
          <w:b/>
          <w:bCs/>
          <w:sz w:val="24"/>
          <w:szCs w:val="24"/>
          <w:lang w:val="en-US"/>
        </w:rPr>
      </w:pPr>
      <w:r w:rsidRPr="007751F8">
        <w:rPr>
          <w:rFonts w:ascii="Avenir Next LT Pro" w:hAnsi="Avenir Next LT Pro" w:cs="Arial"/>
          <w:b/>
          <w:bCs/>
          <w:sz w:val="24"/>
          <w:szCs w:val="24"/>
          <w:lang w:val="en-US"/>
        </w:rPr>
        <w:t>T R A N S I T O R I O</w:t>
      </w:r>
    </w:p>
    <w:p w14:paraId="37D8F00F" w14:textId="3523DA1F" w:rsidR="00C36E72" w:rsidRPr="003F2163"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ÚNICO.</w:t>
      </w:r>
      <w:r w:rsidRPr="00B67FE6">
        <w:rPr>
          <w:rFonts w:ascii="Avenir Next LT Pro" w:hAnsi="Avenir Next LT Pro" w:cs="Arial"/>
          <w:sz w:val="24"/>
          <w:szCs w:val="24"/>
        </w:rPr>
        <w:t xml:space="preserve"> - </w:t>
      </w:r>
      <w:r w:rsidRPr="003F2163">
        <w:rPr>
          <w:rFonts w:ascii="Avenir Next LT Pro" w:hAnsi="Avenir Next LT Pro" w:cs="Arial"/>
          <w:sz w:val="24"/>
          <w:szCs w:val="24"/>
        </w:rPr>
        <w:t>El presente Decreto entrará en vigor al día siguiente de su publicación en el Periódico Oficial del Estado.</w:t>
      </w:r>
    </w:p>
    <w:p w14:paraId="187E3FDA" w14:textId="61904E8A" w:rsidR="00C36E72" w:rsidRPr="003F2163"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ECONÓMICO.</w:t>
      </w:r>
      <w:r w:rsidRPr="00B67FE6">
        <w:rPr>
          <w:rFonts w:ascii="Avenir Next LT Pro" w:hAnsi="Avenir Next LT Pro" w:cs="Arial"/>
          <w:sz w:val="24"/>
          <w:szCs w:val="24"/>
        </w:rPr>
        <w:t xml:space="preserve"> </w:t>
      </w:r>
      <w:r w:rsidR="00395CF3" w:rsidRPr="003F2163">
        <w:rPr>
          <w:rFonts w:ascii="Avenir Next LT Pro" w:hAnsi="Avenir Next LT Pro" w:cs="Arial"/>
          <w:sz w:val="24"/>
          <w:szCs w:val="24"/>
        </w:rPr>
        <w:t>Aprobado que sea,</w:t>
      </w:r>
      <w:r w:rsidR="00395CF3" w:rsidRPr="00B67FE6">
        <w:rPr>
          <w:rFonts w:ascii="Avenir Next LT Pro" w:hAnsi="Avenir Next LT Pro" w:cs="Arial"/>
          <w:sz w:val="24"/>
          <w:szCs w:val="24"/>
        </w:rPr>
        <w:t xml:space="preserve"> </w:t>
      </w:r>
      <w:r w:rsidR="00395CF3" w:rsidRPr="003F2163">
        <w:rPr>
          <w:rFonts w:ascii="Avenir Next LT Pro" w:hAnsi="Avenir Next LT Pro" w:cs="Arial"/>
          <w:sz w:val="24"/>
          <w:szCs w:val="24"/>
        </w:rPr>
        <w:t>t</w:t>
      </w:r>
      <w:r w:rsidRPr="003F2163">
        <w:rPr>
          <w:rFonts w:ascii="Avenir Next LT Pro" w:hAnsi="Avenir Next LT Pro" w:cs="Arial"/>
          <w:sz w:val="24"/>
          <w:szCs w:val="24"/>
        </w:rPr>
        <w:t>úrnese a la Secretaría de Asuntos Legislativos para que elabore la minuta de Decreto, en los términos en que deba publicarse.</w:t>
      </w:r>
    </w:p>
    <w:p w14:paraId="738507D3" w14:textId="07AB9EF9" w:rsidR="00C36E72" w:rsidRDefault="00C36E72" w:rsidP="002558E7">
      <w:pPr>
        <w:spacing w:before="120" w:after="120" w:line="360" w:lineRule="auto"/>
        <w:mirrorIndents/>
        <w:jc w:val="both"/>
        <w:rPr>
          <w:rFonts w:ascii="Avenir Next LT Pro" w:hAnsi="Avenir Next LT Pro" w:cs="Arial"/>
          <w:sz w:val="24"/>
          <w:szCs w:val="24"/>
        </w:rPr>
      </w:pPr>
      <w:r w:rsidRPr="00C54705">
        <w:rPr>
          <w:rFonts w:ascii="Avenir Next LT Pro" w:hAnsi="Avenir Next LT Pro" w:cs="Arial"/>
          <w:b/>
          <w:bCs/>
          <w:sz w:val="24"/>
          <w:szCs w:val="24"/>
        </w:rPr>
        <w:t>D A D O</w:t>
      </w:r>
      <w:r w:rsidRPr="003F2163">
        <w:rPr>
          <w:rFonts w:ascii="Avenir Next LT Pro" w:hAnsi="Avenir Next LT Pro" w:cs="Arial"/>
          <w:sz w:val="24"/>
          <w:szCs w:val="24"/>
        </w:rPr>
        <w:t xml:space="preserve"> en la sede del Poder Legislativo del Estado de Chihuahua, a los </w:t>
      </w:r>
      <w:r w:rsidR="00B22D06">
        <w:rPr>
          <w:rFonts w:ascii="Avenir Next LT Pro" w:hAnsi="Avenir Next LT Pro" w:cs="Arial"/>
          <w:sz w:val="24"/>
          <w:szCs w:val="24"/>
        </w:rPr>
        <w:t>20</w:t>
      </w:r>
      <w:r w:rsidRPr="003F2163">
        <w:rPr>
          <w:rFonts w:ascii="Avenir Next LT Pro" w:hAnsi="Avenir Next LT Pro" w:cs="Arial"/>
          <w:sz w:val="24"/>
          <w:szCs w:val="24"/>
        </w:rPr>
        <w:t xml:space="preserve"> días del mes de </w:t>
      </w:r>
      <w:r w:rsidR="00B22D06">
        <w:rPr>
          <w:rFonts w:ascii="Avenir Next LT Pro" w:hAnsi="Avenir Next LT Pro" w:cs="Arial"/>
          <w:sz w:val="24"/>
          <w:szCs w:val="24"/>
        </w:rPr>
        <w:t>enero</w:t>
      </w:r>
      <w:r w:rsidRPr="003F2163">
        <w:rPr>
          <w:rFonts w:ascii="Avenir Next LT Pro" w:hAnsi="Avenir Next LT Pro" w:cs="Arial"/>
          <w:sz w:val="24"/>
          <w:szCs w:val="24"/>
        </w:rPr>
        <w:t xml:space="preserve"> de 202</w:t>
      </w:r>
      <w:r w:rsidR="007751F8">
        <w:rPr>
          <w:rFonts w:ascii="Avenir Next LT Pro" w:hAnsi="Avenir Next LT Pro" w:cs="Arial"/>
          <w:sz w:val="24"/>
          <w:szCs w:val="24"/>
        </w:rPr>
        <w:t>5</w:t>
      </w:r>
      <w:r w:rsidRPr="003F2163">
        <w:rPr>
          <w:rFonts w:ascii="Avenir Next LT Pro" w:hAnsi="Avenir Next LT Pro" w:cs="Arial"/>
          <w:sz w:val="24"/>
          <w:szCs w:val="24"/>
        </w:rPr>
        <w:t>.</w:t>
      </w:r>
    </w:p>
    <w:p w14:paraId="5C71A2EE" w14:textId="77777777" w:rsidR="00B67FE6" w:rsidRPr="003F2163" w:rsidRDefault="00B67FE6" w:rsidP="002558E7">
      <w:pPr>
        <w:spacing w:before="120" w:after="120" w:line="360" w:lineRule="auto"/>
        <w:mirrorIndents/>
        <w:jc w:val="both"/>
        <w:rPr>
          <w:rFonts w:ascii="Avenir Next LT Pro" w:hAnsi="Avenir Next LT Pro" w:cs="Arial"/>
          <w:sz w:val="24"/>
          <w:szCs w:val="24"/>
        </w:rPr>
      </w:pPr>
    </w:p>
    <w:p w14:paraId="7784A242" w14:textId="60B0A70F" w:rsidR="00740300" w:rsidRPr="00C54705" w:rsidRDefault="006568C3" w:rsidP="002558E7">
      <w:pPr>
        <w:spacing w:before="120" w:after="120" w:line="360" w:lineRule="auto"/>
        <w:mirrorIndents/>
        <w:jc w:val="center"/>
        <w:rPr>
          <w:rFonts w:ascii="Avenir Next LT Pro" w:hAnsi="Avenir Next LT Pro" w:cs="Arial"/>
          <w:b/>
          <w:bCs/>
          <w:sz w:val="24"/>
          <w:szCs w:val="24"/>
        </w:rPr>
      </w:pPr>
      <w:r w:rsidRPr="00C54705">
        <w:rPr>
          <w:rFonts w:ascii="Avenir Next LT Pro" w:hAnsi="Avenir Next LT Pro" w:cs="Arial"/>
          <w:b/>
          <w:bCs/>
          <w:sz w:val="24"/>
          <w:szCs w:val="24"/>
        </w:rPr>
        <w:t>ATENTAMENTE</w:t>
      </w:r>
    </w:p>
    <w:p w14:paraId="3789467E" w14:textId="7EACFF1B" w:rsidR="006568C3" w:rsidRPr="00C54705" w:rsidRDefault="006568C3" w:rsidP="002558E7">
      <w:pPr>
        <w:spacing w:before="120" w:after="120" w:line="360" w:lineRule="auto"/>
        <w:mirrorIndents/>
        <w:rPr>
          <w:rFonts w:ascii="Avenir Next LT Pro" w:hAnsi="Avenir Next LT Pro" w:cs="Arial"/>
          <w:b/>
          <w:bCs/>
          <w:sz w:val="24"/>
          <w:szCs w:val="24"/>
        </w:rPr>
      </w:pPr>
    </w:p>
    <w:p w14:paraId="52D87893" w14:textId="77777777" w:rsidR="00740300" w:rsidRPr="00C54705" w:rsidRDefault="00740300" w:rsidP="002558E7">
      <w:pPr>
        <w:spacing w:before="120" w:after="120" w:line="360" w:lineRule="auto"/>
        <w:mirrorIndents/>
        <w:rPr>
          <w:rFonts w:ascii="Avenir Next LT Pro" w:hAnsi="Avenir Next LT Pro" w:cs="Arial"/>
          <w:b/>
          <w:bCs/>
          <w:sz w:val="24"/>
          <w:szCs w:val="24"/>
        </w:rPr>
      </w:pPr>
    </w:p>
    <w:p w14:paraId="560BFE6D" w14:textId="77777777" w:rsidR="006568C3" w:rsidRPr="00C54705" w:rsidRDefault="006568C3" w:rsidP="002558E7">
      <w:pPr>
        <w:pStyle w:val="BodyAA"/>
        <w:tabs>
          <w:tab w:val="left" w:pos="6120"/>
        </w:tabs>
        <w:spacing w:before="120" w:after="120" w:line="360" w:lineRule="auto"/>
        <w:mirrorIndents/>
        <w:jc w:val="center"/>
        <w:rPr>
          <w:rFonts w:ascii="Avenir Next LT Pro" w:eastAsia="Calibri" w:hAnsi="Avenir Next LT Pro" w:cs="Arial"/>
          <w:b/>
          <w:bCs/>
          <w:color w:val="auto"/>
          <w:sz w:val="24"/>
          <w:szCs w:val="24"/>
          <w:bdr w:val="none" w:sz="0" w:space="0" w:color="auto"/>
          <w:lang w:val="es-MX" w:eastAsia="en-US"/>
          <w14:textOutline w14:w="0" w14:cap="rnd" w14:cmpd="sng" w14:algn="ctr">
            <w14:noFill/>
            <w14:prstDash w14:val="solid"/>
            <w14:bevel/>
          </w14:textOutline>
        </w:rPr>
      </w:pPr>
      <w:r w:rsidRPr="00C54705">
        <w:rPr>
          <w:rFonts w:ascii="Avenir Next LT Pro" w:eastAsia="Calibri" w:hAnsi="Avenir Next LT Pro" w:cs="Arial"/>
          <w:b/>
          <w:bCs/>
          <w:color w:val="auto"/>
          <w:sz w:val="24"/>
          <w:szCs w:val="24"/>
          <w:bdr w:val="none" w:sz="0" w:space="0" w:color="auto"/>
          <w:lang w:val="es-MX" w:eastAsia="en-US"/>
          <w14:textOutline w14:w="0" w14:cap="rnd" w14:cmpd="sng" w14:algn="ctr">
            <w14:noFill/>
            <w14:prstDash w14:val="solid"/>
            <w14:bevel/>
          </w14:textOutline>
        </w:rPr>
        <w:t>DIP. JOSÉ LUIS VILLALOBOS GARCÍA.</w:t>
      </w:r>
    </w:p>
    <w:p w14:paraId="4ECB6892" w14:textId="77777777" w:rsidR="006568C3" w:rsidRPr="003F2163" w:rsidRDefault="006568C3" w:rsidP="002558E7">
      <w:pPr>
        <w:spacing w:before="120" w:after="120" w:line="360" w:lineRule="auto"/>
        <w:mirrorIndents/>
        <w:rPr>
          <w:rFonts w:ascii="Avenir Next LT Pro" w:hAnsi="Avenir Next LT Pro" w:cs="Arial"/>
          <w:sz w:val="24"/>
          <w:szCs w:val="24"/>
        </w:rPr>
      </w:pPr>
    </w:p>
    <w:sectPr w:rsidR="006568C3" w:rsidRPr="003F2163" w:rsidSect="00C54705">
      <w:headerReference w:type="default" r:id="rId8"/>
      <w:footerReference w:type="default" r:id="rId9"/>
      <w:pgSz w:w="12240" w:h="15840"/>
      <w:pgMar w:top="3402"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98E6F" w14:textId="77777777" w:rsidR="00DB5AA2" w:rsidRDefault="00DB5AA2" w:rsidP="006568C3">
      <w:pPr>
        <w:spacing w:after="0" w:line="240" w:lineRule="auto"/>
      </w:pPr>
      <w:r>
        <w:separator/>
      </w:r>
    </w:p>
  </w:endnote>
  <w:endnote w:type="continuationSeparator" w:id="0">
    <w:p w14:paraId="54A89108" w14:textId="77777777" w:rsidR="00DB5AA2" w:rsidRDefault="00DB5AA2" w:rsidP="0065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4"/>
        <w:szCs w:val="24"/>
      </w:rPr>
      <w:id w:val="-1993321474"/>
      <w:docPartObj>
        <w:docPartGallery w:val="Page Numbers (Bottom of Page)"/>
        <w:docPartUnique/>
      </w:docPartObj>
    </w:sdtPr>
    <w:sdtEndPr>
      <w:rPr>
        <w:sz w:val="36"/>
        <w:szCs w:val="36"/>
      </w:rPr>
    </w:sdtEndPr>
    <w:sdtContent>
      <w:p w14:paraId="24862AAB" w14:textId="77777777" w:rsidR="0072731E" w:rsidRPr="00E7403C" w:rsidRDefault="005F5EE3">
        <w:pPr>
          <w:pStyle w:val="Piedepgina"/>
          <w:jc w:val="right"/>
          <w:rPr>
            <w:b/>
            <w:bCs/>
            <w:sz w:val="24"/>
            <w:szCs w:val="24"/>
          </w:rPr>
        </w:pPr>
        <w:r w:rsidRPr="00E7403C">
          <w:rPr>
            <w:b/>
            <w:bCs/>
            <w:sz w:val="24"/>
            <w:szCs w:val="24"/>
          </w:rPr>
          <w:fldChar w:fldCharType="begin"/>
        </w:r>
        <w:r w:rsidRPr="00E7403C">
          <w:rPr>
            <w:b/>
            <w:bCs/>
            <w:sz w:val="24"/>
            <w:szCs w:val="24"/>
          </w:rPr>
          <w:instrText>PAGE   \* MERGEFORMAT</w:instrText>
        </w:r>
        <w:r w:rsidRPr="00E7403C">
          <w:rPr>
            <w:b/>
            <w:bCs/>
            <w:sz w:val="24"/>
            <w:szCs w:val="24"/>
          </w:rPr>
          <w:fldChar w:fldCharType="separate"/>
        </w:r>
        <w:r w:rsidRPr="00E7403C">
          <w:rPr>
            <w:b/>
            <w:bCs/>
            <w:sz w:val="24"/>
            <w:szCs w:val="24"/>
          </w:rPr>
          <w:t>2</w:t>
        </w:r>
        <w:r w:rsidRPr="00E7403C">
          <w:rPr>
            <w:b/>
            <w:bCs/>
            <w:sz w:val="24"/>
            <w:szCs w:val="24"/>
          </w:rPr>
          <w:fldChar w:fldCharType="end"/>
        </w:r>
      </w:p>
    </w:sdtContent>
  </w:sdt>
  <w:p w14:paraId="4A1F9F6A" w14:textId="77777777" w:rsidR="0072731E" w:rsidRDefault="00727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0A92" w14:textId="77777777" w:rsidR="00DB5AA2" w:rsidRDefault="00DB5AA2" w:rsidP="006568C3">
      <w:pPr>
        <w:spacing w:after="0" w:line="240" w:lineRule="auto"/>
      </w:pPr>
      <w:r>
        <w:separator/>
      </w:r>
    </w:p>
  </w:footnote>
  <w:footnote w:type="continuationSeparator" w:id="0">
    <w:p w14:paraId="75DCA498" w14:textId="77777777" w:rsidR="00DB5AA2" w:rsidRDefault="00DB5AA2" w:rsidP="006568C3">
      <w:pPr>
        <w:spacing w:after="0" w:line="240" w:lineRule="auto"/>
      </w:pPr>
      <w:r>
        <w:continuationSeparator/>
      </w:r>
    </w:p>
  </w:footnote>
  <w:footnote w:id="1">
    <w:p w14:paraId="070EEF9E" w14:textId="77777777" w:rsidR="003C0493" w:rsidRPr="00B77EFF" w:rsidRDefault="003C0493" w:rsidP="003C0493">
      <w:pPr>
        <w:pStyle w:val="Textonotapie"/>
        <w:rPr>
          <w:lang w:val="es-MX"/>
        </w:rPr>
      </w:pPr>
      <w:r>
        <w:rPr>
          <w:rStyle w:val="Refdenotaalpie"/>
        </w:rPr>
        <w:footnoteRef/>
      </w:r>
      <w:r>
        <w:t xml:space="preserve"> </w:t>
      </w:r>
      <w:r>
        <w:rPr>
          <w:lang w:val="es-MX"/>
        </w:rPr>
        <w:t xml:space="preserve">Fuente: </w:t>
      </w:r>
      <w:hyperlink r:id="rId1" w:history="1">
        <w:r w:rsidRPr="00B77EFF">
          <w:rPr>
            <w:rStyle w:val="Hipervnculo"/>
            <w:lang w:val="es-MX"/>
          </w:rPr>
          <w:t>https://www.inegi.org.mx/contenidos/saladeprensa/aproposito/2024/EAP_CANCER24.pdf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D692" w14:textId="77777777" w:rsidR="0072731E" w:rsidRDefault="005F5EE3">
    <w:pPr>
      <w:pStyle w:val="Encabezado"/>
    </w:pPr>
    <w:r>
      <w:rPr>
        <w:noProof/>
      </w:rPr>
      <mc:AlternateContent>
        <mc:Choice Requires="wps">
          <w:drawing>
            <wp:anchor distT="45720" distB="45720" distL="114300" distR="114300" simplePos="0" relativeHeight="251659264" behindDoc="0" locked="1" layoutInCell="1" allowOverlap="0" wp14:anchorId="624226AE" wp14:editId="1ED2BA27">
              <wp:simplePos x="0" y="0"/>
              <wp:positionH relativeFrom="margin">
                <wp:posOffset>2415540</wp:posOffset>
              </wp:positionH>
              <wp:positionV relativeFrom="page">
                <wp:posOffset>990600</wp:posOffset>
              </wp:positionV>
              <wp:extent cx="3189600" cy="428400"/>
              <wp:effectExtent l="0" t="0" r="1143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0" cy="428400"/>
                      </a:xfrm>
                      <a:prstGeom prst="rect">
                        <a:avLst/>
                      </a:prstGeom>
                      <a:solidFill>
                        <a:schemeClr val="bg1"/>
                      </a:solidFill>
                      <a:ln w="9525">
                        <a:solidFill>
                          <a:schemeClr val="bg1"/>
                        </a:solidFill>
                        <a:miter lim="800000"/>
                        <a:headEnd/>
                        <a:tailEnd/>
                      </a:ln>
                    </wps:spPr>
                    <wps:txbx>
                      <w:txbxContent>
                        <w:p w14:paraId="39D724BE" w14:textId="77777777" w:rsidR="0072731E" w:rsidRDefault="005F5EE3" w:rsidP="008F120D">
                          <w:pPr>
                            <w:pStyle w:val="Encabezado"/>
                            <w:jc w:val="right"/>
                          </w:pPr>
                          <w:r>
                            <w:rPr>
                              <w:rFonts w:ascii="Edwardian Script ITC" w:hAnsi="Edwardian Script ITC"/>
                              <w:b/>
                              <w:sz w:val="44"/>
                            </w:rPr>
                            <w:t xml:space="preserve">Diputado José Luis Villalobos </w:t>
                          </w:r>
                        </w:p>
                        <w:p w14:paraId="0DA94D64" w14:textId="77777777" w:rsidR="0072731E" w:rsidRDefault="00727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24226AE" id="_x0000_t202" coordsize="21600,21600" o:spt="202" path="m,l,21600r21600,l21600,xe">
              <v:stroke joinstyle="miter"/>
              <v:path gradientshapeok="t" o:connecttype="rect"/>
            </v:shapetype>
            <v:shape id="Cuadro de texto 2" o:spid="_x0000_s1026" type="#_x0000_t202" style="position:absolute;margin-left:190.2pt;margin-top:78pt;width:251.1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" o:allowoverlap="f" fillcolor="white [3212]" strokecolor="white [3212]">
              <v:textbox>
                <w:txbxContent>
                  <w:p w14:paraId="39D724BE" w14:textId="77777777" w:rsidR="0072731E" w:rsidRDefault="005F5EE3" w:rsidP="008F120D">
                    <w:pPr>
                      <w:pStyle w:val="Header"/>
                      <w:jc w:val="right"/>
                    </w:pPr>
                    <w:r>
                      <w:rPr>
                        <w:rFonts w:ascii="Edwardian Script ITC" w:hAnsi="Edwardian Script ITC"/>
                        <w:b/>
                        <w:sz w:val="44"/>
                      </w:rPr>
                      <w:t xml:space="preserve">Diputado José Luis Villalobos </w:t>
                    </w:r>
                  </w:p>
                  <w:p w14:paraId="0DA94D64" w14:textId="77777777" w:rsidR="0072731E" w:rsidRDefault="0072731E"/>
                </w:txbxContent>
              </v:textbox>
              <w10:wrap type="square" anchorx="margin" anchory="page"/>
              <w10:anchorlock/>
            </v:shape>
          </w:pict>
        </mc:Fallback>
      </mc:AlternateContent>
    </w:r>
    <w:r>
      <w:rPr>
        <w:noProof/>
        <w:lang w:val="es-ES" w:eastAsia="es-ES"/>
      </w:rPr>
      <w:drawing>
        <wp:anchor distT="0" distB="0" distL="114300" distR="114300" simplePos="0" relativeHeight="251660288" behindDoc="1" locked="0" layoutInCell="1" allowOverlap="1" wp14:anchorId="153C34F3" wp14:editId="41C80C65">
          <wp:simplePos x="0" y="0"/>
          <wp:positionH relativeFrom="page">
            <wp:align>right</wp:align>
          </wp:positionH>
          <wp:positionV relativeFrom="paragraph">
            <wp:posOffset>-449580</wp:posOffset>
          </wp:positionV>
          <wp:extent cx="7772400" cy="10058400"/>
          <wp:effectExtent l="0" t="0" r="0" b="0"/>
          <wp:wrapNone/>
          <wp:docPr id="149886547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97"/>
    <w:multiLevelType w:val="multilevel"/>
    <w:tmpl w:val="E62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759D0"/>
    <w:multiLevelType w:val="hybridMultilevel"/>
    <w:tmpl w:val="24482F38"/>
    <w:lvl w:ilvl="0" w:tplc="3B34978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F700C3D"/>
    <w:multiLevelType w:val="hybridMultilevel"/>
    <w:tmpl w:val="8ECE1D16"/>
    <w:lvl w:ilvl="0" w:tplc="CDFA8E1E">
      <w:numFmt w:val="bullet"/>
      <w:lvlText w:val="-"/>
      <w:lvlJc w:val="left"/>
      <w:pPr>
        <w:ind w:left="720" w:hanging="360"/>
      </w:pPr>
      <w:rPr>
        <w:rFonts w:ascii="Verdana" w:eastAsia="Arial" w:hAnsi="Verdan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7D420C"/>
    <w:multiLevelType w:val="hybridMultilevel"/>
    <w:tmpl w:val="F586B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436416"/>
    <w:multiLevelType w:val="hybridMultilevel"/>
    <w:tmpl w:val="C654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71335"/>
    <w:multiLevelType w:val="multilevel"/>
    <w:tmpl w:val="2A3E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A7339"/>
    <w:multiLevelType w:val="hybridMultilevel"/>
    <w:tmpl w:val="2854A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B4313A"/>
    <w:multiLevelType w:val="hybridMultilevel"/>
    <w:tmpl w:val="70A62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1B1FA3"/>
    <w:multiLevelType w:val="hybridMultilevel"/>
    <w:tmpl w:val="C5E2E0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63FF70FC"/>
    <w:multiLevelType w:val="hybridMultilevel"/>
    <w:tmpl w:val="396A019A"/>
    <w:lvl w:ilvl="0" w:tplc="0032DC5C">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15485E"/>
    <w:multiLevelType w:val="hybridMultilevel"/>
    <w:tmpl w:val="151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D7A88"/>
    <w:multiLevelType w:val="hybridMultilevel"/>
    <w:tmpl w:val="1DAC952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78D37DE0"/>
    <w:multiLevelType w:val="hybridMultilevel"/>
    <w:tmpl w:val="2F8EB3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23873987">
    <w:abstractNumId w:val="7"/>
  </w:num>
  <w:num w:numId="2" w16cid:durableId="1428500998">
    <w:abstractNumId w:val="3"/>
  </w:num>
  <w:num w:numId="3" w16cid:durableId="737478119">
    <w:abstractNumId w:val="2"/>
  </w:num>
  <w:num w:numId="4" w16cid:durableId="1454132616">
    <w:abstractNumId w:val="0"/>
  </w:num>
  <w:num w:numId="5" w16cid:durableId="1449004420">
    <w:abstractNumId w:val="5"/>
  </w:num>
  <w:num w:numId="6" w16cid:durableId="1013066499">
    <w:abstractNumId w:val="6"/>
  </w:num>
  <w:num w:numId="7" w16cid:durableId="123936594">
    <w:abstractNumId w:val="9"/>
  </w:num>
  <w:num w:numId="8" w16cid:durableId="1926647337">
    <w:abstractNumId w:val="4"/>
  </w:num>
  <w:num w:numId="9" w16cid:durableId="416243980">
    <w:abstractNumId w:val="8"/>
  </w:num>
  <w:num w:numId="10" w16cid:durableId="210384678">
    <w:abstractNumId w:val="11"/>
  </w:num>
  <w:num w:numId="11" w16cid:durableId="584220350">
    <w:abstractNumId w:val="1"/>
  </w:num>
  <w:num w:numId="12" w16cid:durableId="1624387129">
    <w:abstractNumId w:val="12"/>
  </w:num>
  <w:num w:numId="13" w16cid:durableId="128789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C3"/>
    <w:rsid w:val="00015CFD"/>
    <w:rsid w:val="000268BA"/>
    <w:rsid w:val="000365A2"/>
    <w:rsid w:val="00051A9A"/>
    <w:rsid w:val="000542CE"/>
    <w:rsid w:val="00074FDA"/>
    <w:rsid w:val="000A3056"/>
    <w:rsid w:val="000A526B"/>
    <w:rsid w:val="00106D51"/>
    <w:rsid w:val="00115E13"/>
    <w:rsid w:val="00124E3D"/>
    <w:rsid w:val="001337E5"/>
    <w:rsid w:val="00155EC3"/>
    <w:rsid w:val="00185209"/>
    <w:rsid w:val="00190A0F"/>
    <w:rsid w:val="001A1DEE"/>
    <w:rsid w:val="001A4F1B"/>
    <w:rsid w:val="001D1045"/>
    <w:rsid w:val="001D5FC7"/>
    <w:rsid w:val="001F387D"/>
    <w:rsid w:val="00240D9C"/>
    <w:rsid w:val="002558E7"/>
    <w:rsid w:val="00273B09"/>
    <w:rsid w:val="00284AEE"/>
    <w:rsid w:val="00293B5A"/>
    <w:rsid w:val="002C52E7"/>
    <w:rsid w:val="002C5337"/>
    <w:rsid w:val="002D6D25"/>
    <w:rsid w:val="002F0663"/>
    <w:rsid w:val="002F23F8"/>
    <w:rsid w:val="003018DD"/>
    <w:rsid w:val="00303D76"/>
    <w:rsid w:val="00304D8D"/>
    <w:rsid w:val="00372C4F"/>
    <w:rsid w:val="003839A4"/>
    <w:rsid w:val="003933A0"/>
    <w:rsid w:val="00395CF3"/>
    <w:rsid w:val="003A4E28"/>
    <w:rsid w:val="003A673A"/>
    <w:rsid w:val="003A70F3"/>
    <w:rsid w:val="003C0493"/>
    <w:rsid w:val="003D209B"/>
    <w:rsid w:val="003E55C4"/>
    <w:rsid w:val="003F2163"/>
    <w:rsid w:val="0042215D"/>
    <w:rsid w:val="004277EA"/>
    <w:rsid w:val="0043024D"/>
    <w:rsid w:val="0043133F"/>
    <w:rsid w:val="00432A6C"/>
    <w:rsid w:val="00434D19"/>
    <w:rsid w:val="0045339F"/>
    <w:rsid w:val="0045420F"/>
    <w:rsid w:val="00455C3C"/>
    <w:rsid w:val="00465DBB"/>
    <w:rsid w:val="00467C94"/>
    <w:rsid w:val="00486A9F"/>
    <w:rsid w:val="00494AFB"/>
    <w:rsid w:val="004B638B"/>
    <w:rsid w:val="004C0FC6"/>
    <w:rsid w:val="004E53AC"/>
    <w:rsid w:val="00500E9F"/>
    <w:rsid w:val="0051121E"/>
    <w:rsid w:val="00530CDD"/>
    <w:rsid w:val="00534B54"/>
    <w:rsid w:val="00541E67"/>
    <w:rsid w:val="00560787"/>
    <w:rsid w:val="00561A9F"/>
    <w:rsid w:val="00565DB8"/>
    <w:rsid w:val="0057436F"/>
    <w:rsid w:val="005961E6"/>
    <w:rsid w:val="00596F8F"/>
    <w:rsid w:val="005A796B"/>
    <w:rsid w:val="005E47AB"/>
    <w:rsid w:val="005F5EE3"/>
    <w:rsid w:val="00621C02"/>
    <w:rsid w:val="00624098"/>
    <w:rsid w:val="006253C0"/>
    <w:rsid w:val="006275F4"/>
    <w:rsid w:val="00633ADF"/>
    <w:rsid w:val="0065161C"/>
    <w:rsid w:val="00651FEA"/>
    <w:rsid w:val="00654E26"/>
    <w:rsid w:val="006568C3"/>
    <w:rsid w:val="00675E6B"/>
    <w:rsid w:val="00683B0A"/>
    <w:rsid w:val="006A59B9"/>
    <w:rsid w:val="006B2FB4"/>
    <w:rsid w:val="006E706C"/>
    <w:rsid w:val="006F018E"/>
    <w:rsid w:val="007055C8"/>
    <w:rsid w:val="00707689"/>
    <w:rsid w:val="00710A8B"/>
    <w:rsid w:val="0072731E"/>
    <w:rsid w:val="00740300"/>
    <w:rsid w:val="0074388E"/>
    <w:rsid w:val="00765F8A"/>
    <w:rsid w:val="007751F8"/>
    <w:rsid w:val="00780091"/>
    <w:rsid w:val="007854F2"/>
    <w:rsid w:val="00795245"/>
    <w:rsid w:val="007A1A70"/>
    <w:rsid w:val="007C3931"/>
    <w:rsid w:val="007C728E"/>
    <w:rsid w:val="007D225E"/>
    <w:rsid w:val="007D7343"/>
    <w:rsid w:val="007E0C55"/>
    <w:rsid w:val="007F5303"/>
    <w:rsid w:val="0082635A"/>
    <w:rsid w:val="00827567"/>
    <w:rsid w:val="0085537E"/>
    <w:rsid w:val="00857824"/>
    <w:rsid w:val="00886344"/>
    <w:rsid w:val="00886F97"/>
    <w:rsid w:val="008B6950"/>
    <w:rsid w:val="008E426E"/>
    <w:rsid w:val="0090144E"/>
    <w:rsid w:val="009144B3"/>
    <w:rsid w:val="00914BB1"/>
    <w:rsid w:val="00920E06"/>
    <w:rsid w:val="009305DB"/>
    <w:rsid w:val="0093694F"/>
    <w:rsid w:val="0093790B"/>
    <w:rsid w:val="0096399C"/>
    <w:rsid w:val="00967202"/>
    <w:rsid w:val="009A423F"/>
    <w:rsid w:val="009A51CF"/>
    <w:rsid w:val="009D7D04"/>
    <w:rsid w:val="009E4B09"/>
    <w:rsid w:val="009E76F9"/>
    <w:rsid w:val="009F0E43"/>
    <w:rsid w:val="00A14A23"/>
    <w:rsid w:val="00A57FC9"/>
    <w:rsid w:val="00A66383"/>
    <w:rsid w:val="00A71C6D"/>
    <w:rsid w:val="00A751C1"/>
    <w:rsid w:val="00A85CAA"/>
    <w:rsid w:val="00AD17D6"/>
    <w:rsid w:val="00AF3842"/>
    <w:rsid w:val="00AF3F1B"/>
    <w:rsid w:val="00B10EBA"/>
    <w:rsid w:val="00B210A0"/>
    <w:rsid w:val="00B22D06"/>
    <w:rsid w:val="00B258E7"/>
    <w:rsid w:val="00B67FE6"/>
    <w:rsid w:val="00B77EFF"/>
    <w:rsid w:val="00B97786"/>
    <w:rsid w:val="00BA46C0"/>
    <w:rsid w:val="00BC6AD7"/>
    <w:rsid w:val="00BF2E16"/>
    <w:rsid w:val="00BF5DA8"/>
    <w:rsid w:val="00C00FE7"/>
    <w:rsid w:val="00C07B93"/>
    <w:rsid w:val="00C1180D"/>
    <w:rsid w:val="00C27748"/>
    <w:rsid w:val="00C364A8"/>
    <w:rsid w:val="00C36E72"/>
    <w:rsid w:val="00C54705"/>
    <w:rsid w:val="00C62064"/>
    <w:rsid w:val="00C72DE4"/>
    <w:rsid w:val="00C753ED"/>
    <w:rsid w:val="00C949D4"/>
    <w:rsid w:val="00CC58CE"/>
    <w:rsid w:val="00D22427"/>
    <w:rsid w:val="00D37248"/>
    <w:rsid w:val="00D436E0"/>
    <w:rsid w:val="00D47DDA"/>
    <w:rsid w:val="00D801D3"/>
    <w:rsid w:val="00DA5C74"/>
    <w:rsid w:val="00DB5AA2"/>
    <w:rsid w:val="00DD40BB"/>
    <w:rsid w:val="00E05A65"/>
    <w:rsid w:val="00E13A92"/>
    <w:rsid w:val="00E2411E"/>
    <w:rsid w:val="00E24379"/>
    <w:rsid w:val="00E5376C"/>
    <w:rsid w:val="00E60FE5"/>
    <w:rsid w:val="00E70D16"/>
    <w:rsid w:val="00E84BAD"/>
    <w:rsid w:val="00EC4640"/>
    <w:rsid w:val="00ED1B97"/>
    <w:rsid w:val="00ED63FD"/>
    <w:rsid w:val="00F67579"/>
    <w:rsid w:val="00F7445E"/>
    <w:rsid w:val="00F871A1"/>
    <w:rsid w:val="00F92CBA"/>
    <w:rsid w:val="00FB14BC"/>
    <w:rsid w:val="00FC1E6F"/>
    <w:rsid w:val="00FE2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78C0"/>
  <w15:chartTrackingRefBased/>
  <w15:docId w15:val="{D31A2CDA-D342-44C3-BD76-44A7D2FF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C3"/>
    <w:rPr>
      <w:rFonts w:ascii="Calibri" w:eastAsia="Calibri" w:hAnsi="Calibri" w:cs="Times New Roman"/>
    </w:rPr>
  </w:style>
  <w:style w:type="paragraph" w:styleId="Ttulo2">
    <w:name w:val="heading 2"/>
    <w:basedOn w:val="Normal"/>
    <w:next w:val="Normal"/>
    <w:link w:val="Ttulo2Car"/>
    <w:uiPriority w:val="9"/>
    <w:semiHidden/>
    <w:unhideWhenUsed/>
    <w:qFormat/>
    <w:rsid w:val="0068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190A0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568C3"/>
  </w:style>
  <w:style w:type="paragraph" w:styleId="Piedepgina">
    <w:name w:val="footer"/>
    <w:basedOn w:val="Normal"/>
    <w:link w:val="PiedepginaC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568C3"/>
  </w:style>
  <w:style w:type="paragraph" w:styleId="NormalWeb">
    <w:name w:val="Normal (Web)"/>
    <w:basedOn w:val="Normal"/>
    <w:uiPriority w:val="99"/>
    <w:unhideWhenUsed/>
    <w:rsid w:val="006568C3"/>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6568C3"/>
    <w:pPr>
      <w:spacing w:after="0" w:line="240" w:lineRule="auto"/>
      <w:ind w:left="720"/>
      <w:contextualSpacing/>
    </w:pPr>
    <w:rPr>
      <w:rFonts w:asciiTheme="minorHAnsi" w:eastAsiaTheme="minorHAnsi" w:hAnsiTheme="minorHAnsi" w:cstheme="minorBidi"/>
      <w:sz w:val="24"/>
      <w:szCs w:val="24"/>
    </w:rPr>
  </w:style>
  <w:style w:type="paragraph" w:customStyle="1" w:styleId="BodyAA">
    <w:name w:val="Body A A"/>
    <w:rsid w:val="006568C3"/>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6568C3"/>
    <w:pPr>
      <w:spacing w:after="0" w:line="240" w:lineRule="auto"/>
    </w:pPr>
    <w:rPr>
      <w:rFonts w:asciiTheme="minorHAnsi" w:eastAsiaTheme="minorHAnsi" w:hAnsiTheme="minorHAnsi" w:cstheme="minorBidi"/>
      <w:kern w:val="2"/>
      <w:sz w:val="20"/>
      <w:szCs w:val="20"/>
      <w:lang w:val="es-ES_tradnl"/>
      <w14:ligatures w14:val="standardContextual"/>
    </w:rPr>
  </w:style>
  <w:style w:type="character" w:customStyle="1" w:styleId="TextonotapieCar">
    <w:name w:val="Texto nota pie Car"/>
    <w:basedOn w:val="Fuentedeprrafopredeter"/>
    <w:link w:val="Textonotapie"/>
    <w:uiPriority w:val="99"/>
    <w:semiHidden/>
    <w:rsid w:val="006568C3"/>
    <w:rPr>
      <w:kern w:val="2"/>
      <w:sz w:val="20"/>
      <w:szCs w:val="20"/>
      <w:lang w:val="es-ES_tradnl"/>
      <w14:ligatures w14:val="standardContextual"/>
    </w:rPr>
  </w:style>
  <w:style w:type="character" w:styleId="Refdenotaalpie">
    <w:name w:val="footnote reference"/>
    <w:basedOn w:val="Fuentedeprrafopredeter"/>
    <w:uiPriority w:val="99"/>
    <w:semiHidden/>
    <w:unhideWhenUsed/>
    <w:rsid w:val="006568C3"/>
    <w:rPr>
      <w:vertAlign w:val="superscript"/>
    </w:rPr>
  </w:style>
  <w:style w:type="table" w:styleId="Tablaconcuadrcula">
    <w:name w:val="Table Grid"/>
    <w:basedOn w:val="Tablanormal"/>
    <w:uiPriority w:val="39"/>
    <w:rsid w:val="00E5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190A0F"/>
    <w:rPr>
      <w:rFonts w:eastAsiaTheme="majorEastAsia" w:cstheme="majorBidi"/>
      <w:color w:val="2F5496" w:themeColor="accent1" w:themeShade="BF"/>
      <w:kern w:val="2"/>
      <w:sz w:val="24"/>
      <w:szCs w:val="24"/>
      <w14:ligatures w14:val="standardContextual"/>
    </w:rPr>
  </w:style>
  <w:style w:type="character" w:customStyle="1" w:styleId="Ttulo2Car">
    <w:name w:val="Título 2 Car"/>
    <w:basedOn w:val="Fuentedeprrafopredeter"/>
    <w:link w:val="Ttulo2"/>
    <w:uiPriority w:val="9"/>
    <w:semiHidden/>
    <w:rsid w:val="00683B0A"/>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683B0A"/>
    <w:rPr>
      <w:color w:val="0563C1" w:themeColor="hyperlink"/>
      <w:u w:val="single"/>
    </w:rPr>
  </w:style>
  <w:style w:type="character" w:styleId="Mencinsinresolver">
    <w:name w:val="Unresolved Mention"/>
    <w:basedOn w:val="Fuentedeprrafopredeter"/>
    <w:uiPriority w:val="99"/>
    <w:semiHidden/>
    <w:unhideWhenUsed/>
    <w:rsid w:val="00683B0A"/>
    <w:rPr>
      <w:color w:val="605E5C"/>
      <w:shd w:val="clear" w:color="auto" w:fill="E1DFDD"/>
    </w:rPr>
  </w:style>
  <w:style w:type="character" w:customStyle="1" w:styleId="TextoCar">
    <w:name w:val="Texto Car"/>
    <w:link w:val="Texto"/>
    <w:locked/>
    <w:rsid w:val="004E53AC"/>
    <w:rPr>
      <w:rFonts w:ascii="Arial" w:eastAsia="Times New Roman" w:hAnsi="Arial" w:cs="Times New Roman"/>
      <w:sz w:val="18"/>
      <w:szCs w:val="18"/>
      <w:lang w:val="es-ES" w:eastAsia="x-none"/>
    </w:rPr>
  </w:style>
  <w:style w:type="paragraph" w:customStyle="1" w:styleId="Texto">
    <w:name w:val="Texto"/>
    <w:basedOn w:val="Normal"/>
    <w:link w:val="TextoCar"/>
    <w:rsid w:val="004E53AC"/>
    <w:pPr>
      <w:spacing w:after="101" w:line="216" w:lineRule="exact"/>
      <w:ind w:firstLine="288"/>
      <w:jc w:val="both"/>
    </w:pPr>
    <w:rPr>
      <w:rFonts w:ascii="Arial" w:eastAsia="Times New Roman" w:hAnsi="Arial"/>
      <w:sz w:val="18"/>
      <w:szCs w:val="18"/>
      <w:lang w:val="es-ES" w:eastAsia="x-none"/>
    </w:rPr>
  </w:style>
  <w:style w:type="character" w:customStyle="1" w:styleId="normaltextrun">
    <w:name w:val="normaltextrun"/>
    <w:basedOn w:val="Fuentedeprrafopredeter"/>
    <w:rsid w:val="004E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4819">
      <w:bodyDiv w:val="1"/>
      <w:marLeft w:val="0"/>
      <w:marRight w:val="0"/>
      <w:marTop w:val="0"/>
      <w:marBottom w:val="0"/>
      <w:divBdr>
        <w:top w:val="none" w:sz="0" w:space="0" w:color="auto"/>
        <w:left w:val="none" w:sz="0" w:space="0" w:color="auto"/>
        <w:bottom w:val="none" w:sz="0" w:space="0" w:color="auto"/>
        <w:right w:val="none" w:sz="0" w:space="0" w:color="auto"/>
      </w:divBdr>
    </w:div>
    <w:div w:id="48922090">
      <w:bodyDiv w:val="1"/>
      <w:marLeft w:val="0"/>
      <w:marRight w:val="0"/>
      <w:marTop w:val="0"/>
      <w:marBottom w:val="0"/>
      <w:divBdr>
        <w:top w:val="none" w:sz="0" w:space="0" w:color="auto"/>
        <w:left w:val="none" w:sz="0" w:space="0" w:color="auto"/>
        <w:bottom w:val="none" w:sz="0" w:space="0" w:color="auto"/>
        <w:right w:val="none" w:sz="0" w:space="0" w:color="auto"/>
      </w:divBdr>
    </w:div>
    <w:div w:id="236136926">
      <w:bodyDiv w:val="1"/>
      <w:marLeft w:val="0"/>
      <w:marRight w:val="0"/>
      <w:marTop w:val="0"/>
      <w:marBottom w:val="0"/>
      <w:divBdr>
        <w:top w:val="none" w:sz="0" w:space="0" w:color="auto"/>
        <w:left w:val="none" w:sz="0" w:space="0" w:color="auto"/>
        <w:bottom w:val="none" w:sz="0" w:space="0" w:color="auto"/>
        <w:right w:val="none" w:sz="0" w:space="0" w:color="auto"/>
      </w:divBdr>
    </w:div>
    <w:div w:id="319698026">
      <w:bodyDiv w:val="1"/>
      <w:marLeft w:val="0"/>
      <w:marRight w:val="0"/>
      <w:marTop w:val="0"/>
      <w:marBottom w:val="0"/>
      <w:divBdr>
        <w:top w:val="none" w:sz="0" w:space="0" w:color="auto"/>
        <w:left w:val="none" w:sz="0" w:space="0" w:color="auto"/>
        <w:bottom w:val="none" w:sz="0" w:space="0" w:color="auto"/>
        <w:right w:val="none" w:sz="0" w:space="0" w:color="auto"/>
      </w:divBdr>
    </w:div>
    <w:div w:id="341054873">
      <w:bodyDiv w:val="1"/>
      <w:marLeft w:val="0"/>
      <w:marRight w:val="0"/>
      <w:marTop w:val="0"/>
      <w:marBottom w:val="0"/>
      <w:divBdr>
        <w:top w:val="none" w:sz="0" w:space="0" w:color="auto"/>
        <w:left w:val="none" w:sz="0" w:space="0" w:color="auto"/>
        <w:bottom w:val="none" w:sz="0" w:space="0" w:color="auto"/>
        <w:right w:val="none" w:sz="0" w:space="0" w:color="auto"/>
      </w:divBdr>
    </w:div>
    <w:div w:id="433015498">
      <w:bodyDiv w:val="1"/>
      <w:marLeft w:val="0"/>
      <w:marRight w:val="0"/>
      <w:marTop w:val="0"/>
      <w:marBottom w:val="0"/>
      <w:divBdr>
        <w:top w:val="none" w:sz="0" w:space="0" w:color="auto"/>
        <w:left w:val="none" w:sz="0" w:space="0" w:color="auto"/>
        <w:bottom w:val="none" w:sz="0" w:space="0" w:color="auto"/>
        <w:right w:val="none" w:sz="0" w:space="0" w:color="auto"/>
      </w:divBdr>
    </w:div>
    <w:div w:id="534777552">
      <w:bodyDiv w:val="1"/>
      <w:marLeft w:val="0"/>
      <w:marRight w:val="0"/>
      <w:marTop w:val="0"/>
      <w:marBottom w:val="0"/>
      <w:divBdr>
        <w:top w:val="none" w:sz="0" w:space="0" w:color="auto"/>
        <w:left w:val="none" w:sz="0" w:space="0" w:color="auto"/>
        <w:bottom w:val="none" w:sz="0" w:space="0" w:color="auto"/>
        <w:right w:val="none" w:sz="0" w:space="0" w:color="auto"/>
      </w:divBdr>
    </w:div>
    <w:div w:id="908343007">
      <w:bodyDiv w:val="1"/>
      <w:marLeft w:val="0"/>
      <w:marRight w:val="0"/>
      <w:marTop w:val="0"/>
      <w:marBottom w:val="0"/>
      <w:divBdr>
        <w:top w:val="none" w:sz="0" w:space="0" w:color="auto"/>
        <w:left w:val="none" w:sz="0" w:space="0" w:color="auto"/>
        <w:bottom w:val="none" w:sz="0" w:space="0" w:color="auto"/>
        <w:right w:val="none" w:sz="0" w:space="0" w:color="auto"/>
      </w:divBdr>
    </w:div>
    <w:div w:id="928192881">
      <w:bodyDiv w:val="1"/>
      <w:marLeft w:val="0"/>
      <w:marRight w:val="0"/>
      <w:marTop w:val="0"/>
      <w:marBottom w:val="0"/>
      <w:divBdr>
        <w:top w:val="none" w:sz="0" w:space="0" w:color="auto"/>
        <w:left w:val="none" w:sz="0" w:space="0" w:color="auto"/>
        <w:bottom w:val="none" w:sz="0" w:space="0" w:color="auto"/>
        <w:right w:val="none" w:sz="0" w:space="0" w:color="auto"/>
      </w:divBdr>
    </w:div>
    <w:div w:id="1011252898">
      <w:bodyDiv w:val="1"/>
      <w:marLeft w:val="0"/>
      <w:marRight w:val="0"/>
      <w:marTop w:val="0"/>
      <w:marBottom w:val="0"/>
      <w:divBdr>
        <w:top w:val="none" w:sz="0" w:space="0" w:color="auto"/>
        <w:left w:val="none" w:sz="0" w:space="0" w:color="auto"/>
        <w:bottom w:val="none" w:sz="0" w:space="0" w:color="auto"/>
        <w:right w:val="none" w:sz="0" w:space="0" w:color="auto"/>
      </w:divBdr>
    </w:div>
    <w:div w:id="1295255562">
      <w:bodyDiv w:val="1"/>
      <w:marLeft w:val="0"/>
      <w:marRight w:val="0"/>
      <w:marTop w:val="0"/>
      <w:marBottom w:val="0"/>
      <w:divBdr>
        <w:top w:val="none" w:sz="0" w:space="0" w:color="auto"/>
        <w:left w:val="none" w:sz="0" w:space="0" w:color="auto"/>
        <w:bottom w:val="none" w:sz="0" w:space="0" w:color="auto"/>
        <w:right w:val="none" w:sz="0" w:space="0" w:color="auto"/>
      </w:divBdr>
    </w:div>
    <w:div w:id="1569029627">
      <w:bodyDiv w:val="1"/>
      <w:marLeft w:val="0"/>
      <w:marRight w:val="0"/>
      <w:marTop w:val="0"/>
      <w:marBottom w:val="0"/>
      <w:divBdr>
        <w:top w:val="none" w:sz="0" w:space="0" w:color="auto"/>
        <w:left w:val="none" w:sz="0" w:space="0" w:color="auto"/>
        <w:bottom w:val="none" w:sz="0" w:space="0" w:color="auto"/>
        <w:right w:val="none" w:sz="0" w:space="0" w:color="auto"/>
      </w:divBdr>
    </w:div>
    <w:div w:id="1579291948">
      <w:bodyDiv w:val="1"/>
      <w:marLeft w:val="0"/>
      <w:marRight w:val="0"/>
      <w:marTop w:val="0"/>
      <w:marBottom w:val="0"/>
      <w:divBdr>
        <w:top w:val="none" w:sz="0" w:space="0" w:color="auto"/>
        <w:left w:val="none" w:sz="0" w:space="0" w:color="auto"/>
        <w:bottom w:val="none" w:sz="0" w:space="0" w:color="auto"/>
        <w:right w:val="none" w:sz="0" w:space="0" w:color="auto"/>
      </w:divBdr>
    </w:div>
    <w:div w:id="21178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saladeprensa/aproposito/2024/EAP_CANCER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4F75-89B2-4F24-A042-6F81C853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dc:creator>
  <cp:keywords/>
  <dc:description/>
  <cp:lastModifiedBy>congreso chihuahua</cp:lastModifiedBy>
  <cp:revision>2</cp:revision>
  <cp:lastPrinted>2024-11-28T06:05:00Z</cp:lastPrinted>
  <dcterms:created xsi:type="dcterms:W3CDTF">2025-01-23T19:33:00Z</dcterms:created>
  <dcterms:modified xsi:type="dcterms:W3CDTF">2025-01-23T19:33:00Z</dcterms:modified>
</cp:coreProperties>
</file>