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22010" w14:textId="77777777" w:rsidR="00C92E1B" w:rsidRPr="00736F22" w:rsidRDefault="0091707E" w:rsidP="00E837D3">
      <w:pPr>
        <w:spacing w:after="0" w:line="240" w:lineRule="auto"/>
        <w:jc w:val="both"/>
        <w:rPr>
          <w:rFonts w:ascii="Century Gothic" w:eastAsia="Times New Roman" w:hAnsi="Century Gothic" w:cs="Arial"/>
          <w:b/>
          <w:bCs/>
          <w:sz w:val="25"/>
          <w:szCs w:val="25"/>
          <w:lang w:eastAsia="es-MX"/>
        </w:rPr>
      </w:pPr>
      <w:r w:rsidRPr="00736F22">
        <w:rPr>
          <w:rFonts w:ascii="Century Gothic" w:eastAsia="Times New Roman" w:hAnsi="Century Gothic" w:cs="Arial"/>
          <w:b/>
          <w:bCs/>
          <w:sz w:val="25"/>
          <w:szCs w:val="25"/>
          <w:lang w:eastAsia="es-MX"/>
        </w:rPr>
        <w:t>H. CONGRESO DEL ESTADO DE CHIHUAHUA</w:t>
      </w:r>
    </w:p>
    <w:p w14:paraId="2084EA38" w14:textId="77777777" w:rsidR="0091707E" w:rsidRPr="00736F22" w:rsidRDefault="0091707E" w:rsidP="00E837D3">
      <w:pPr>
        <w:spacing w:after="0" w:line="24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b/>
          <w:bCs/>
          <w:sz w:val="25"/>
          <w:szCs w:val="25"/>
          <w:lang w:eastAsia="es-MX"/>
        </w:rPr>
        <w:t xml:space="preserve">P R E S E N T E. </w:t>
      </w:r>
    </w:p>
    <w:p w14:paraId="54A7C494" w14:textId="2304A045" w:rsidR="00C92E1B" w:rsidRPr="00736F22" w:rsidRDefault="0091707E" w:rsidP="00B40787">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 xml:space="preserve">La suscrita, en mi carácter de Diputada de la Sexagésima Octava Legislatura del Honorable Congreso del Estado, representante parlamentaria del Partido del Trabajo, en uso de las atribuciones conferidas por </w:t>
      </w:r>
      <w:r w:rsidR="005F25A7" w:rsidRPr="00736F22">
        <w:rPr>
          <w:rFonts w:ascii="Century Gothic" w:eastAsia="Times New Roman" w:hAnsi="Century Gothic" w:cs="Arial"/>
          <w:sz w:val="25"/>
          <w:szCs w:val="25"/>
          <w:lang w:eastAsia="es-MX"/>
        </w:rPr>
        <w:t>los artículos</w:t>
      </w:r>
      <w:r w:rsidRPr="00736F22">
        <w:rPr>
          <w:rFonts w:ascii="Century Gothic" w:eastAsia="Times New Roman" w:hAnsi="Century Gothic" w:cs="Arial"/>
          <w:sz w:val="25"/>
          <w:szCs w:val="25"/>
          <w:lang w:eastAsia="es-MX"/>
        </w:rPr>
        <w:t xml:space="preserve"> 64</w:t>
      </w:r>
      <w:r w:rsidR="00C9125F" w:rsidRPr="00736F22">
        <w:rPr>
          <w:rFonts w:ascii="Century Gothic" w:eastAsia="Times New Roman" w:hAnsi="Century Gothic" w:cs="Arial"/>
          <w:sz w:val="25"/>
          <w:szCs w:val="25"/>
          <w:lang w:eastAsia="es-MX"/>
        </w:rPr>
        <w:t>,</w:t>
      </w:r>
      <w:r w:rsidRPr="00736F22">
        <w:rPr>
          <w:rFonts w:ascii="Century Gothic" w:eastAsia="Times New Roman" w:hAnsi="Century Gothic" w:cs="Arial"/>
          <w:sz w:val="25"/>
          <w:szCs w:val="25"/>
          <w:lang w:eastAsia="es-MX"/>
        </w:rPr>
        <w:t xml:space="preserve"> fracción XLVII, </w:t>
      </w:r>
      <w:r w:rsidR="007D247D" w:rsidRPr="00736F22">
        <w:rPr>
          <w:rFonts w:ascii="Century Gothic" w:eastAsia="Times New Roman" w:hAnsi="Century Gothic" w:cs="Arial"/>
          <w:sz w:val="25"/>
          <w:szCs w:val="25"/>
          <w:lang w:eastAsia="es-MX"/>
        </w:rPr>
        <w:t xml:space="preserve">y </w:t>
      </w:r>
      <w:r w:rsidRPr="00736F22">
        <w:rPr>
          <w:rFonts w:ascii="Century Gothic" w:eastAsia="Times New Roman" w:hAnsi="Century Gothic" w:cs="Arial"/>
          <w:sz w:val="25"/>
          <w:szCs w:val="25"/>
          <w:lang w:eastAsia="es-MX"/>
        </w:rPr>
        <w:t>68 fracción I, de la Constitución Política del Estado de Chihuahua</w:t>
      </w:r>
      <w:r w:rsidR="007D247D" w:rsidRPr="00736F22">
        <w:rPr>
          <w:rFonts w:ascii="Century Gothic" w:eastAsia="Times New Roman" w:hAnsi="Century Gothic" w:cs="Arial"/>
          <w:sz w:val="25"/>
          <w:szCs w:val="25"/>
          <w:lang w:eastAsia="es-MX"/>
        </w:rPr>
        <w:t>,</w:t>
      </w:r>
      <w:r w:rsidRPr="00736F22">
        <w:rPr>
          <w:rFonts w:ascii="Century Gothic" w:eastAsia="Times New Roman" w:hAnsi="Century Gothic" w:cs="Arial"/>
          <w:sz w:val="25"/>
          <w:szCs w:val="25"/>
          <w:lang w:eastAsia="es-MX"/>
        </w:rPr>
        <w:t xml:space="preserve"> así como 169 y 174 de la Ley Orgánica del Poder Legislativo del Estado de Chihuahua; comparezco ante esta Honorable Representación Popular para presentar</w:t>
      </w:r>
      <w:r w:rsidRPr="00736F22">
        <w:rPr>
          <w:rFonts w:ascii="Century Gothic" w:eastAsia="Times New Roman" w:hAnsi="Century Gothic" w:cs="Arial"/>
          <w:color w:val="000000" w:themeColor="text1"/>
          <w:sz w:val="25"/>
          <w:szCs w:val="25"/>
          <w:lang w:eastAsia="es-MX"/>
        </w:rPr>
        <w:t xml:space="preserve"> </w:t>
      </w:r>
      <w:r w:rsidR="00B76B74">
        <w:rPr>
          <w:rFonts w:ascii="Century Gothic" w:eastAsia="Times New Roman" w:hAnsi="Century Gothic" w:cs="Arial"/>
          <w:b/>
          <w:bCs/>
          <w:color w:val="000000" w:themeColor="text1"/>
          <w:sz w:val="25"/>
          <w:szCs w:val="25"/>
          <w:lang w:eastAsia="es-MX"/>
        </w:rPr>
        <w:t xml:space="preserve">EL </w:t>
      </w:r>
      <w:r w:rsidR="0043612A" w:rsidRPr="00736F22">
        <w:rPr>
          <w:rFonts w:ascii="Century Gothic" w:eastAsia="Times New Roman" w:hAnsi="Century Gothic" w:cs="Arial"/>
          <w:b/>
          <w:bCs/>
          <w:color w:val="000000" w:themeColor="text1"/>
          <w:sz w:val="25"/>
          <w:szCs w:val="25"/>
          <w:lang w:eastAsia="es-MX"/>
        </w:rPr>
        <w:t>PUNTO DE ACUERDO</w:t>
      </w:r>
      <w:r w:rsidR="00333B72" w:rsidRPr="00736F22">
        <w:rPr>
          <w:rFonts w:ascii="Century Gothic" w:eastAsia="Times New Roman" w:hAnsi="Century Gothic" w:cs="Arial"/>
          <w:b/>
          <w:bCs/>
          <w:color w:val="000000" w:themeColor="text1"/>
          <w:sz w:val="25"/>
          <w:szCs w:val="25"/>
          <w:lang w:eastAsia="es-MX"/>
        </w:rPr>
        <w:t>:</w:t>
      </w:r>
      <w:r w:rsidR="0043612A" w:rsidRPr="00736F22">
        <w:rPr>
          <w:rFonts w:ascii="Century Gothic" w:eastAsia="Times New Roman" w:hAnsi="Century Gothic" w:cs="Arial"/>
          <w:b/>
          <w:bCs/>
          <w:color w:val="000000" w:themeColor="text1"/>
          <w:sz w:val="25"/>
          <w:szCs w:val="25"/>
          <w:lang w:eastAsia="es-MX"/>
        </w:rPr>
        <w:t xml:space="preserve"> A EFECTO DE SOLICITAR </w:t>
      </w:r>
      <w:r w:rsidR="00802C30" w:rsidRPr="00736F22">
        <w:rPr>
          <w:rFonts w:ascii="Century Gothic" w:eastAsia="Times New Roman" w:hAnsi="Century Gothic" w:cs="Arial"/>
          <w:b/>
          <w:bCs/>
          <w:color w:val="000000" w:themeColor="text1"/>
          <w:sz w:val="25"/>
          <w:szCs w:val="25"/>
          <w:lang w:eastAsia="es-MX"/>
        </w:rPr>
        <w:t xml:space="preserve">LA COMPARECENCIA ANTE </w:t>
      </w:r>
      <w:r w:rsidR="00AE3640" w:rsidRPr="00736F22">
        <w:rPr>
          <w:rFonts w:ascii="Century Gothic" w:eastAsia="Times New Roman" w:hAnsi="Century Gothic" w:cs="Arial"/>
          <w:b/>
          <w:bCs/>
          <w:color w:val="000000" w:themeColor="text1"/>
          <w:sz w:val="25"/>
          <w:szCs w:val="25"/>
          <w:lang w:eastAsia="es-MX"/>
        </w:rPr>
        <w:t xml:space="preserve">LA </w:t>
      </w:r>
      <w:r w:rsidR="00AE3640">
        <w:rPr>
          <w:rFonts w:ascii="Century Gothic" w:eastAsia="Times New Roman" w:hAnsi="Century Gothic" w:cs="Arial"/>
          <w:b/>
          <w:bCs/>
          <w:color w:val="000000" w:themeColor="text1"/>
          <w:sz w:val="25"/>
          <w:szCs w:val="25"/>
          <w:lang w:eastAsia="es-MX"/>
        </w:rPr>
        <w:t xml:space="preserve">COMISIÓN DE IGUALDAD </w:t>
      </w:r>
      <w:r w:rsidR="00AE3640" w:rsidRPr="00736F22">
        <w:rPr>
          <w:rFonts w:ascii="Century Gothic" w:eastAsia="Times New Roman" w:hAnsi="Century Gothic" w:cs="Arial"/>
          <w:b/>
          <w:bCs/>
          <w:color w:val="000000" w:themeColor="text1"/>
          <w:sz w:val="25"/>
          <w:szCs w:val="25"/>
          <w:lang w:eastAsia="es-MX"/>
        </w:rPr>
        <w:t xml:space="preserve"> </w:t>
      </w:r>
      <w:r w:rsidR="00AE3640">
        <w:rPr>
          <w:rFonts w:ascii="Century Gothic" w:eastAsia="Times New Roman" w:hAnsi="Century Gothic" w:cs="Arial"/>
          <w:b/>
          <w:bCs/>
          <w:color w:val="000000" w:themeColor="text1"/>
          <w:sz w:val="25"/>
          <w:szCs w:val="25"/>
          <w:lang w:eastAsia="es-MX"/>
        </w:rPr>
        <w:t>A</w:t>
      </w:r>
      <w:r w:rsidR="00AE3640" w:rsidRPr="00736F22">
        <w:rPr>
          <w:rFonts w:ascii="Century Gothic" w:eastAsia="Times New Roman" w:hAnsi="Century Gothic" w:cs="Arial"/>
          <w:b/>
          <w:bCs/>
          <w:color w:val="000000" w:themeColor="text1"/>
          <w:sz w:val="25"/>
          <w:szCs w:val="25"/>
          <w:lang w:eastAsia="es-MX"/>
        </w:rPr>
        <w:t xml:space="preserve"> </w:t>
      </w:r>
      <w:r w:rsidR="00DE5F73" w:rsidRPr="00736F22">
        <w:rPr>
          <w:rFonts w:ascii="Century Gothic" w:eastAsia="Times New Roman" w:hAnsi="Century Gothic" w:cs="Arial"/>
          <w:b/>
          <w:bCs/>
          <w:color w:val="000000" w:themeColor="text1"/>
          <w:sz w:val="25"/>
          <w:szCs w:val="25"/>
          <w:lang w:eastAsia="es-MX"/>
        </w:rPr>
        <w:t xml:space="preserve">LA TITULAR DE </w:t>
      </w:r>
      <w:r w:rsidR="00DE5F73" w:rsidRPr="00736F22">
        <w:rPr>
          <w:rFonts w:ascii="Century Gothic" w:hAnsi="Century Gothic" w:cs="Arial"/>
          <w:b/>
          <w:color w:val="000000" w:themeColor="text1"/>
          <w:sz w:val="25"/>
          <w:szCs w:val="25"/>
          <w:shd w:val="clear" w:color="auto" w:fill="FFFFFF"/>
        </w:rPr>
        <w:t>LA DEFENSORÍA DE LOS DERECHOS UNIVERSITARIOS, IGUALDAD Y ATENCIÓN A LA VIOLENCIA DE GÉNERO</w:t>
      </w:r>
      <w:r w:rsidR="00333B72" w:rsidRPr="00736F22">
        <w:rPr>
          <w:rFonts w:ascii="Century Gothic" w:hAnsi="Century Gothic" w:cs="Arial"/>
          <w:b/>
          <w:color w:val="000000" w:themeColor="text1"/>
          <w:sz w:val="25"/>
          <w:szCs w:val="25"/>
          <w:shd w:val="clear" w:color="auto" w:fill="FFFFFF"/>
        </w:rPr>
        <w:t>,</w:t>
      </w:r>
      <w:r w:rsidR="00471B47" w:rsidRPr="00736F22">
        <w:rPr>
          <w:rFonts w:ascii="Century Gothic" w:hAnsi="Century Gothic" w:cs="Arial"/>
          <w:b/>
          <w:color w:val="000000" w:themeColor="text1"/>
          <w:sz w:val="25"/>
          <w:szCs w:val="25"/>
          <w:shd w:val="clear" w:color="auto" w:fill="FFFFFF"/>
        </w:rPr>
        <w:t xml:space="preserve"> DE LA UNIVERSIDAD AUTÓNOMA DE CHIHUAHUA</w:t>
      </w:r>
      <w:r w:rsidR="00333B72" w:rsidRPr="00736F22">
        <w:rPr>
          <w:rFonts w:ascii="Century Gothic" w:hAnsi="Century Gothic" w:cs="Arial"/>
          <w:b/>
          <w:color w:val="000000" w:themeColor="text1"/>
          <w:sz w:val="25"/>
          <w:szCs w:val="25"/>
          <w:shd w:val="clear" w:color="auto" w:fill="FFFFFF"/>
        </w:rPr>
        <w:t>;</w:t>
      </w:r>
      <w:r w:rsidR="00471B47" w:rsidRPr="00736F22">
        <w:rPr>
          <w:rFonts w:ascii="Century Gothic" w:hAnsi="Century Gothic" w:cs="Arial"/>
          <w:b/>
          <w:color w:val="000000" w:themeColor="text1"/>
          <w:sz w:val="25"/>
          <w:szCs w:val="25"/>
          <w:shd w:val="clear" w:color="auto" w:fill="FFFFFF"/>
        </w:rPr>
        <w:t xml:space="preserve"> </w:t>
      </w:r>
      <w:r w:rsidR="00DE5F73" w:rsidRPr="00736F22">
        <w:rPr>
          <w:rFonts w:ascii="Century Gothic" w:hAnsi="Century Gothic" w:cs="Arial"/>
          <w:b/>
          <w:color w:val="000000" w:themeColor="text1"/>
          <w:sz w:val="25"/>
          <w:szCs w:val="25"/>
          <w:shd w:val="clear" w:color="auto" w:fill="FFFFFF"/>
        </w:rPr>
        <w:t>Y DE LA TITULAR DE LA UNIDA</w:t>
      </w:r>
      <w:r w:rsidR="00333B72" w:rsidRPr="00736F22">
        <w:rPr>
          <w:rFonts w:ascii="Century Gothic" w:hAnsi="Century Gothic" w:cs="Arial"/>
          <w:b/>
          <w:color w:val="000000" w:themeColor="text1"/>
          <w:sz w:val="25"/>
          <w:szCs w:val="25"/>
          <w:shd w:val="clear" w:color="auto" w:fill="FFFFFF"/>
        </w:rPr>
        <w:t>D</w:t>
      </w:r>
      <w:r w:rsidR="00DE5F73" w:rsidRPr="00736F22">
        <w:rPr>
          <w:rFonts w:ascii="Century Gothic" w:hAnsi="Century Gothic" w:cs="Arial"/>
          <w:b/>
          <w:color w:val="000000" w:themeColor="text1"/>
          <w:sz w:val="25"/>
          <w:szCs w:val="25"/>
          <w:shd w:val="clear" w:color="auto" w:fill="FFFFFF"/>
        </w:rPr>
        <w:t xml:space="preserve"> DE GENERO DE LA UNIVERSIDAD AUTÓNOMA DE CIUDAD JUÁREZ</w:t>
      </w:r>
      <w:r w:rsidR="00134E22">
        <w:rPr>
          <w:rFonts w:ascii="Century Gothic" w:hAnsi="Century Gothic" w:cs="Arial"/>
          <w:b/>
          <w:color w:val="000000" w:themeColor="text1"/>
          <w:sz w:val="25"/>
          <w:szCs w:val="25"/>
          <w:shd w:val="clear" w:color="auto" w:fill="FFFFFF"/>
        </w:rPr>
        <w:t>, POR CONDUCTO DE LOS RECTORES DE DICHAS UNIVERSIDADES LOCALES</w:t>
      </w:r>
      <w:r w:rsidR="00C103E1" w:rsidRPr="00736F22">
        <w:rPr>
          <w:rFonts w:ascii="Century Gothic" w:eastAsia="Times New Roman" w:hAnsi="Century Gothic" w:cs="Arial"/>
          <w:b/>
          <w:bCs/>
          <w:color w:val="000000" w:themeColor="text1"/>
          <w:sz w:val="25"/>
          <w:szCs w:val="25"/>
          <w:lang w:eastAsia="es-MX"/>
        </w:rPr>
        <w:t>;</w:t>
      </w:r>
      <w:r w:rsidR="0043612A" w:rsidRPr="00736F22">
        <w:rPr>
          <w:rFonts w:ascii="Century Gothic" w:eastAsia="Times New Roman" w:hAnsi="Century Gothic" w:cs="Arial"/>
          <w:b/>
          <w:bCs/>
          <w:color w:val="000000" w:themeColor="text1"/>
          <w:sz w:val="25"/>
          <w:szCs w:val="25"/>
          <w:lang w:eastAsia="es-MX"/>
        </w:rPr>
        <w:t xml:space="preserve"> LO ANTERIOR PARA QUE INFORMEN SOBRE LAS DENUNCIAS PRESENTADAS Y LOS PROCEDIMIENTOS INTERNOS QUE SE HAN LLEVADO A CABO PARA ATENDER LOS CASOS DE ACOSO Y HOSTIGAMIENTO DENUNCIADOS DENTRO DE DICHAS INSTITUCIONES</w:t>
      </w:r>
      <w:r w:rsidRPr="00736F22">
        <w:rPr>
          <w:rFonts w:ascii="Century Gothic" w:eastAsia="Times New Roman" w:hAnsi="Century Gothic" w:cs="Arial"/>
          <w:color w:val="000000" w:themeColor="text1"/>
          <w:sz w:val="25"/>
          <w:szCs w:val="25"/>
          <w:lang w:eastAsia="es-MX"/>
        </w:rPr>
        <w:t>, con base en la siguiente:</w:t>
      </w:r>
    </w:p>
    <w:p w14:paraId="432D3E74" w14:textId="77777777" w:rsidR="0091707E" w:rsidRPr="00736F22" w:rsidRDefault="0091707E" w:rsidP="00B40787">
      <w:pPr>
        <w:spacing w:before="100" w:beforeAutospacing="1" w:after="100" w:afterAutospacing="1" w:line="360" w:lineRule="auto"/>
        <w:jc w:val="center"/>
        <w:rPr>
          <w:rFonts w:ascii="Century Gothic" w:eastAsia="Times New Roman" w:hAnsi="Century Gothic" w:cs="Arial"/>
          <w:b/>
          <w:bCs/>
          <w:sz w:val="25"/>
          <w:szCs w:val="25"/>
          <w:lang w:eastAsia="es-MX"/>
        </w:rPr>
      </w:pPr>
      <w:r w:rsidRPr="00736F22">
        <w:rPr>
          <w:rFonts w:ascii="Century Gothic" w:eastAsia="Times New Roman" w:hAnsi="Century Gothic" w:cs="Arial"/>
          <w:b/>
          <w:bCs/>
          <w:sz w:val="25"/>
          <w:szCs w:val="25"/>
          <w:lang w:eastAsia="es-MX"/>
        </w:rPr>
        <w:t>EXPOSICIÓN DE MOTIVOS</w:t>
      </w:r>
    </w:p>
    <w:p w14:paraId="39C1B611" w14:textId="634F4B1D" w:rsidR="003400E8" w:rsidRPr="00736F22" w:rsidRDefault="003400E8" w:rsidP="003400E8">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lastRenderedPageBreak/>
        <w:t>La violencia de género, el hostigamiento y el acoso dentro de las instituciones de educación superior, en específico de la Universidad Autónoma de Chihuahua (</w:t>
      </w:r>
      <w:r w:rsidR="0071192E" w:rsidRPr="00736F22">
        <w:rPr>
          <w:rFonts w:ascii="Century Gothic" w:eastAsia="Times New Roman" w:hAnsi="Century Gothic" w:cs="Arial"/>
          <w:sz w:val="25"/>
          <w:szCs w:val="25"/>
          <w:lang w:eastAsia="es-MX"/>
        </w:rPr>
        <w:t>UACH</w:t>
      </w:r>
      <w:r w:rsidRPr="00736F22">
        <w:rPr>
          <w:rFonts w:ascii="Century Gothic" w:eastAsia="Times New Roman" w:hAnsi="Century Gothic" w:cs="Arial"/>
          <w:sz w:val="25"/>
          <w:szCs w:val="25"/>
          <w:lang w:eastAsia="es-MX"/>
        </w:rPr>
        <w:t>)</w:t>
      </w:r>
      <w:r w:rsidR="007B63E7" w:rsidRPr="00736F22">
        <w:rPr>
          <w:rFonts w:ascii="Century Gothic" w:eastAsia="Times New Roman" w:hAnsi="Century Gothic" w:cs="Arial"/>
          <w:sz w:val="25"/>
          <w:szCs w:val="25"/>
          <w:lang w:eastAsia="es-MX"/>
        </w:rPr>
        <w:t xml:space="preserve"> y </w:t>
      </w:r>
      <w:r w:rsidRPr="00736F22">
        <w:rPr>
          <w:rFonts w:ascii="Century Gothic" w:eastAsia="Times New Roman" w:hAnsi="Century Gothic" w:cs="Arial"/>
          <w:sz w:val="25"/>
          <w:szCs w:val="25"/>
          <w:lang w:eastAsia="es-MX"/>
        </w:rPr>
        <w:t>la Universidad Autónoma de Ciudad Juárez (UACJ), representan una problemática seria que afecta la integridad, la seguridad y el desarrollo pleno del alumnado,</w:t>
      </w:r>
      <w:r w:rsidR="00594637" w:rsidRPr="00736F22">
        <w:rPr>
          <w:rFonts w:ascii="Century Gothic" w:eastAsia="Times New Roman" w:hAnsi="Century Gothic" w:cs="Arial"/>
          <w:sz w:val="25"/>
          <w:szCs w:val="25"/>
          <w:lang w:eastAsia="es-MX"/>
        </w:rPr>
        <w:t xml:space="preserve"> particularmente las mujeres,</w:t>
      </w:r>
      <w:r w:rsidRPr="00736F22">
        <w:rPr>
          <w:rFonts w:ascii="Century Gothic" w:eastAsia="Times New Roman" w:hAnsi="Century Gothic" w:cs="Arial"/>
          <w:sz w:val="25"/>
          <w:szCs w:val="25"/>
          <w:lang w:eastAsia="es-MX"/>
        </w:rPr>
        <w:t xml:space="preserve"> así como el de algunas catedráticas y trabajadoras de estas instituciones.</w:t>
      </w:r>
    </w:p>
    <w:p w14:paraId="688ED7EC" w14:textId="525F84A1" w:rsidR="000063D0" w:rsidRPr="00736F22" w:rsidRDefault="000063D0" w:rsidP="003400E8">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 xml:space="preserve">Datos proporcionados por la Unidad de Género de la Universidad </w:t>
      </w:r>
      <w:r w:rsidR="00EE75E6" w:rsidRPr="00736F22">
        <w:rPr>
          <w:rFonts w:ascii="Century Gothic" w:eastAsia="Times New Roman" w:hAnsi="Century Gothic" w:cs="Arial"/>
          <w:sz w:val="25"/>
          <w:szCs w:val="25"/>
          <w:lang w:eastAsia="es-MX"/>
        </w:rPr>
        <w:t>Autónoma</w:t>
      </w:r>
      <w:r w:rsidRPr="00736F22">
        <w:rPr>
          <w:rFonts w:ascii="Century Gothic" w:eastAsia="Times New Roman" w:hAnsi="Century Gothic" w:cs="Arial"/>
          <w:sz w:val="25"/>
          <w:szCs w:val="25"/>
          <w:lang w:eastAsia="es-MX"/>
        </w:rPr>
        <w:t xml:space="preserve"> de Ciudad Juárez indican que, entre 2023 y 2025, se han registrado 22 quejas formales por violencia de género, cifra que coincide con datos obtenidos en reportes de transparencia y medios locales, de las cuales 19 corresponden a casos de violencia docente y 3 a violencia psicológica. Durante el mismo período, la universidad recibió 55 reportes adicionales sobre hostigamiento y acoso.</w:t>
      </w:r>
    </w:p>
    <w:p w14:paraId="41A90529" w14:textId="3052B265" w:rsidR="00375A58" w:rsidRPr="00736F22" w:rsidRDefault="00617E22" w:rsidP="003400E8">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Sin embargo,</w:t>
      </w:r>
      <w:r w:rsidR="00227A4A">
        <w:rPr>
          <w:rFonts w:ascii="Century Gothic" w:eastAsia="Times New Roman" w:hAnsi="Century Gothic" w:cs="Arial"/>
          <w:sz w:val="25"/>
          <w:szCs w:val="25"/>
          <w:lang w:eastAsia="es-MX"/>
        </w:rPr>
        <w:t xml:space="preserve"> de acuerdo a</w:t>
      </w:r>
      <w:r w:rsidR="00FE359E">
        <w:rPr>
          <w:rFonts w:ascii="Century Gothic" w:eastAsia="Times New Roman" w:hAnsi="Century Gothic" w:cs="Arial"/>
          <w:sz w:val="25"/>
          <w:szCs w:val="25"/>
          <w:lang w:eastAsia="es-MX"/>
        </w:rPr>
        <w:t xml:space="preserve">l </w:t>
      </w:r>
      <w:r w:rsidR="00FE359E" w:rsidRPr="00FE359E">
        <w:rPr>
          <w:rFonts w:ascii="Century Gothic" w:eastAsia="Times New Roman" w:hAnsi="Century Gothic" w:cs="Arial"/>
          <w:sz w:val="25"/>
          <w:szCs w:val="25"/>
          <w:lang w:eastAsia="es-MX"/>
        </w:rPr>
        <w:t>estudio patroc</w:t>
      </w:r>
      <w:r w:rsidR="0050381B">
        <w:rPr>
          <w:rFonts w:ascii="Century Gothic" w:eastAsia="Times New Roman" w:hAnsi="Century Gothic" w:cs="Arial"/>
          <w:sz w:val="25"/>
          <w:szCs w:val="25"/>
          <w:lang w:eastAsia="es-MX"/>
        </w:rPr>
        <w:t>inado por el Instituto Nacional</w:t>
      </w:r>
      <w:r w:rsidR="00C93934">
        <w:rPr>
          <w:rStyle w:val="Refdenotaalpie"/>
          <w:rFonts w:ascii="Century Gothic" w:eastAsia="Times New Roman" w:hAnsi="Century Gothic" w:cs="Arial"/>
          <w:sz w:val="25"/>
          <w:szCs w:val="25"/>
          <w:lang w:eastAsia="es-MX"/>
        </w:rPr>
        <w:footnoteReference w:id="2"/>
      </w:r>
      <w:r w:rsidR="00C93934">
        <w:rPr>
          <w:rFonts w:ascii="Century Gothic" w:eastAsia="Times New Roman" w:hAnsi="Century Gothic" w:cs="Arial"/>
          <w:sz w:val="25"/>
          <w:szCs w:val="25"/>
          <w:lang w:eastAsia="es-MX"/>
        </w:rPr>
        <w:t xml:space="preserve"> </w:t>
      </w:r>
      <w:r w:rsidR="001E622E">
        <w:rPr>
          <w:rFonts w:ascii="Century Gothic" w:eastAsia="Times New Roman" w:hAnsi="Century Gothic" w:cs="Arial"/>
          <w:sz w:val="25"/>
          <w:szCs w:val="25"/>
          <w:lang w:eastAsia="es-MX"/>
        </w:rPr>
        <w:t>reveló</w:t>
      </w:r>
      <w:r w:rsidR="00375A58" w:rsidRPr="00736F22">
        <w:rPr>
          <w:rFonts w:ascii="Century Gothic" w:eastAsia="Times New Roman" w:hAnsi="Century Gothic" w:cs="Arial"/>
          <w:sz w:val="25"/>
          <w:szCs w:val="25"/>
          <w:lang w:eastAsia="es-MX"/>
        </w:rPr>
        <w:t xml:space="preserve"> que </w:t>
      </w:r>
      <w:r w:rsidR="001E622E" w:rsidRPr="001E622E">
        <w:rPr>
          <w:rFonts w:ascii="Century Gothic" w:eastAsia="Times New Roman" w:hAnsi="Century Gothic" w:cs="Arial"/>
          <w:sz w:val="25"/>
          <w:szCs w:val="25"/>
          <w:lang w:eastAsia="es-MX"/>
        </w:rPr>
        <w:t xml:space="preserve">Seis de cada diez personas (56 por ciento) de las comunidades de la Universidad Autónoma de Ciudad Juárez (UACJ) y de la Universidad Autónoma de Chihuahua (UACH) han sufrido algún tipo de acoso u hostigamiento sexual en los últimos tres años, concluyó un </w:t>
      </w:r>
      <w:r w:rsidR="001E622E" w:rsidRPr="001E622E">
        <w:rPr>
          <w:rFonts w:ascii="Century Gothic" w:eastAsia="Times New Roman" w:hAnsi="Century Gothic" w:cs="Arial"/>
          <w:sz w:val="25"/>
          <w:szCs w:val="25"/>
          <w:lang w:eastAsia="es-MX"/>
        </w:rPr>
        <w:lastRenderedPageBreak/>
        <w:t>estudio académico r</w:t>
      </w:r>
      <w:r w:rsidR="00AD2104">
        <w:rPr>
          <w:rFonts w:ascii="Century Gothic" w:eastAsia="Times New Roman" w:hAnsi="Century Gothic" w:cs="Arial"/>
          <w:sz w:val="25"/>
          <w:szCs w:val="25"/>
          <w:lang w:eastAsia="es-MX"/>
        </w:rPr>
        <w:t xml:space="preserve">ealizado en ambas instituciones, en la que se </w:t>
      </w:r>
      <w:r w:rsidR="00AD2104" w:rsidRPr="00AD2104">
        <w:rPr>
          <w:rFonts w:ascii="Century Gothic" w:eastAsia="Times New Roman" w:hAnsi="Century Gothic" w:cs="Arial"/>
          <w:sz w:val="25"/>
          <w:szCs w:val="25"/>
          <w:lang w:eastAsia="es-MX"/>
        </w:rPr>
        <w:t>encontró cómo</w:t>
      </w:r>
      <w:r w:rsidR="00AD2104">
        <w:rPr>
          <w:rFonts w:ascii="Century Gothic" w:eastAsia="Times New Roman" w:hAnsi="Century Gothic" w:cs="Arial"/>
          <w:sz w:val="25"/>
          <w:szCs w:val="25"/>
          <w:lang w:eastAsia="es-MX"/>
        </w:rPr>
        <w:t xml:space="preserve"> una de</w:t>
      </w:r>
      <w:r w:rsidR="00AD2104" w:rsidRPr="00AD2104">
        <w:rPr>
          <w:rFonts w:ascii="Century Gothic" w:eastAsia="Times New Roman" w:hAnsi="Century Gothic" w:cs="Arial"/>
          <w:sz w:val="25"/>
          <w:szCs w:val="25"/>
          <w:lang w:eastAsia="es-MX"/>
        </w:rPr>
        <w:t xml:space="preserve"> las prácticas</w:t>
      </w:r>
      <w:r w:rsidR="003051F1">
        <w:rPr>
          <w:rFonts w:ascii="Century Gothic" w:eastAsia="Times New Roman" w:hAnsi="Century Gothic" w:cs="Arial"/>
          <w:sz w:val="25"/>
          <w:szCs w:val="25"/>
          <w:lang w:eastAsia="es-MX"/>
        </w:rPr>
        <w:t xml:space="preserve"> más recurrentes </w:t>
      </w:r>
      <w:r w:rsidR="00AD2104" w:rsidRPr="00AD2104">
        <w:rPr>
          <w:rFonts w:ascii="Century Gothic" w:eastAsia="Times New Roman" w:hAnsi="Century Gothic" w:cs="Arial"/>
          <w:sz w:val="25"/>
          <w:szCs w:val="25"/>
          <w:lang w:eastAsia="es-MX"/>
        </w:rPr>
        <w:t>e</w:t>
      </w:r>
      <w:r w:rsidR="003051F1">
        <w:rPr>
          <w:rFonts w:ascii="Century Gothic" w:eastAsia="Times New Roman" w:hAnsi="Century Gothic" w:cs="Arial"/>
          <w:sz w:val="25"/>
          <w:szCs w:val="25"/>
          <w:lang w:eastAsia="es-MX"/>
        </w:rPr>
        <w:t>l</w:t>
      </w:r>
      <w:r w:rsidR="00AD2104" w:rsidRPr="00AD2104">
        <w:rPr>
          <w:rFonts w:ascii="Century Gothic" w:eastAsia="Times New Roman" w:hAnsi="Century Gothic" w:cs="Arial"/>
          <w:sz w:val="25"/>
          <w:szCs w:val="25"/>
          <w:lang w:eastAsia="es-MX"/>
        </w:rPr>
        <w:t xml:space="preserve"> acoso y hostigamiento sexual afectan principalmente a mujeres de la comunidad universitaria.</w:t>
      </w:r>
      <w:r w:rsidR="00AD2104" w:rsidRPr="00736F22">
        <w:rPr>
          <w:rFonts w:ascii="Century Gothic" w:eastAsia="Times New Roman" w:hAnsi="Century Gothic" w:cs="Arial"/>
          <w:sz w:val="25"/>
          <w:szCs w:val="25"/>
          <w:lang w:eastAsia="es-MX"/>
        </w:rPr>
        <w:t xml:space="preserve"> </w:t>
      </w:r>
    </w:p>
    <w:p w14:paraId="2BC5F67B" w14:textId="64CFC645" w:rsidR="00EF04F6" w:rsidRPr="00736F22" w:rsidRDefault="00F63729" w:rsidP="003400E8">
      <w:pPr>
        <w:spacing w:before="100" w:beforeAutospacing="1" w:after="100" w:afterAutospacing="1" w:line="360" w:lineRule="auto"/>
        <w:jc w:val="both"/>
        <w:rPr>
          <w:rFonts w:ascii="Century Gothic" w:eastAsia="Times New Roman" w:hAnsi="Century Gothic" w:cs="Arial"/>
          <w:sz w:val="25"/>
          <w:szCs w:val="25"/>
          <w:lang w:eastAsia="es-MX"/>
        </w:rPr>
      </w:pPr>
      <w:r>
        <w:rPr>
          <w:rFonts w:ascii="Century Gothic" w:eastAsia="Times New Roman" w:hAnsi="Century Gothic" w:cs="Arial"/>
          <w:sz w:val="25"/>
          <w:szCs w:val="25"/>
          <w:lang w:eastAsia="es-MX"/>
        </w:rPr>
        <w:t xml:space="preserve">Por otra parte, </w:t>
      </w:r>
      <w:r w:rsidR="007766BF">
        <w:rPr>
          <w:rFonts w:ascii="Century Gothic" w:eastAsia="Times New Roman" w:hAnsi="Century Gothic" w:cs="Arial"/>
          <w:sz w:val="25"/>
          <w:szCs w:val="25"/>
          <w:lang w:eastAsia="es-MX"/>
        </w:rPr>
        <w:t>d</w:t>
      </w:r>
      <w:r w:rsidR="00EF04F6" w:rsidRPr="00736F22">
        <w:rPr>
          <w:rFonts w:ascii="Century Gothic" w:eastAsia="Times New Roman" w:hAnsi="Century Gothic" w:cs="Arial"/>
          <w:sz w:val="25"/>
          <w:szCs w:val="25"/>
          <w:lang w:eastAsia="es-MX"/>
        </w:rPr>
        <w:t>e acuerdo</w:t>
      </w:r>
      <w:r w:rsidR="001C77A6">
        <w:rPr>
          <w:rFonts w:ascii="Century Gothic" w:eastAsia="Times New Roman" w:hAnsi="Century Gothic" w:cs="Arial"/>
          <w:sz w:val="25"/>
          <w:szCs w:val="25"/>
          <w:lang w:eastAsia="es-MX"/>
        </w:rPr>
        <w:t xml:space="preserve"> a diversas fuentes </w:t>
      </w:r>
      <w:r w:rsidR="00CB5849">
        <w:rPr>
          <w:rFonts w:ascii="Century Gothic" w:eastAsia="Times New Roman" w:hAnsi="Century Gothic" w:cs="Arial"/>
          <w:sz w:val="25"/>
          <w:szCs w:val="25"/>
          <w:lang w:eastAsia="es-MX"/>
        </w:rPr>
        <w:t>periodísticas,</w:t>
      </w:r>
      <w:r w:rsidR="001C77A6">
        <w:rPr>
          <w:rFonts w:ascii="Century Gothic" w:eastAsia="Times New Roman" w:hAnsi="Century Gothic" w:cs="Arial"/>
          <w:sz w:val="25"/>
          <w:szCs w:val="25"/>
          <w:lang w:eastAsia="es-MX"/>
        </w:rPr>
        <w:t xml:space="preserve"> </w:t>
      </w:r>
      <w:r w:rsidR="00CB5849">
        <w:rPr>
          <w:rFonts w:ascii="Century Gothic" w:eastAsia="Times New Roman" w:hAnsi="Century Gothic" w:cs="Arial"/>
          <w:sz w:val="25"/>
          <w:szCs w:val="25"/>
          <w:lang w:eastAsia="es-MX"/>
        </w:rPr>
        <w:t>así como</w:t>
      </w:r>
      <w:r w:rsidR="00EF04F6" w:rsidRPr="00736F22">
        <w:rPr>
          <w:rFonts w:ascii="Century Gothic" w:eastAsia="Times New Roman" w:hAnsi="Century Gothic" w:cs="Arial"/>
          <w:sz w:val="25"/>
          <w:szCs w:val="25"/>
          <w:lang w:eastAsia="es-MX"/>
        </w:rPr>
        <w:t xml:space="preserve"> </w:t>
      </w:r>
      <w:r w:rsidR="007766BF">
        <w:rPr>
          <w:rFonts w:ascii="Century Gothic" w:eastAsia="Times New Roman" w:hAnsi="Century Gothic" w:cs="Arial"/>
          <w:sz w:val="25"/>
          <w:szCs w:val="25"/>
          <w:lang w:eastAsia="es-MX"/>
        </w:rPr>
        <w:t xml:space="preserve">diversos datos emitidos por </w:t>
      </w:r>
      <w:r w:rsidR="00EF04F6" w:rsidRPr="00736F22">
        <w:rPr>
          <w:rFonts w:ascii="Century Gothic" w:eastAsia="Times New Roman" w:hAnsi="Century Gothic" w:cs="Arial"/>
          <w:sz w:val="25"/>
          <w:szCs w:val="25"/>
          <w:lang w:eastAsia="es-MX"/>
        </w:rPr>
        <w:t xml:space="preserve">la Comisión Estatal de Derechos Humanos (CEDH), se ha identificado un alarmante incremento en las denuncias relacionadas con discriminación, violencia y acoso en ambas universidades, ya que se han recibido un aproximado de 299 quejas formales relacionadas con violencia, acoso y discriminación tan solo en los últimos dos años. De estas, 125 denuncias se registraron en 2023, cifra que aumentó a 174 en 2024, lo que </w:t>
      </w:r>
      <w:r w:rsidR="00EF04F6" w:rsidRPr="00736F22">
        <w:rPr>
          <w:rFonts w:ascii="Century Gothic" w:eastAsia="Times New Roman" w:hAnsi="Century Gothic" w:cs="Arial"/>
          <w:b/>
          <w:bCs/>
          <w:sz w:val="25"/>
          <w:szCs w:val="25"/>
          <w:lang w:eastAsia="es-MX"/>
        </w:rPr>
        <w:t>representa un incremento del 39.2% en solo un año</w:t>
      </w:r>
      <w:r w:rsidR="00EF04F6" w:rsidRPr="00736F22">
        <w:rPr>
          <w:rFonts w:ascii="Century Gothic" w:eastAsia="Times New Roman" w:hAnsi="Century Gothic" w:cs="Arial"/>
          <w:sz w:val="25"/>
          <w:szCs w:val="25"/>
          <w:lang w:eastAsia="es-MX"/>
        </w:rPr>
        <w:t>.</w:t>
      </w:r>
    </w:p>
    <w:p w14:paraId="2A381F3B" w14:textId="0C0B7E8C" w:rsidR="003E5523" w:rsidRPr="00736F22" w:rsidRDefault="003E5523" w:rsidP="003400E8">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Lo que demuestra que, pesar de la existencia de reglamentos como el "Protocolo para la Atención de Casos de Hostigamiento y Acoso Sexual" de la Universidad Autónoma de Ciudad Juárez y el "Reglamento de la Defensoría de los Derechos Universitarios, Igualdad y Atención a la Violencia de Género" de la Universidad Autónoma de Chihuahua, las medidas implementadas han resultado insuficientes para erradicar estas conductas.</w:t>
      </w:r>
    </w:p>
    <w:p w14:paraId="6E82F5C3" w14:textId="2E7E2BDD" w:rsidR="00436DEF" w:rsidRPr="00736F22" w:rsidRDefault="00A43E95" w:rsidP="003400E8">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lastRenderedPageBreak/>
        <w:t xml:space="preserve">Según datos obtenidos, en los últimos años, la </w:t>
      </w:r>
      <w:r w:rsidR="00B9637D" w:rsidRPr="00736F22">
        <w:rPr>
          <w:rFonts w:ascii="Century Gothic" w:eastAsia="Times New Roman" w:hAnsi="Century Gothic" w:cs="Arial"/>
          <w:sz w:val="25"/>
          <w:szCs w:val="25"/>
          <w:lang w:eastAsia="es-MX"/>
        </w:rPr>
        <w:t>Universidad Autónoma de Chihuahua</w:t>
      </w:r>
      <w:r w:rsidRPr="00736F22">
        <w:rPr>
          <w:rFonts w:ascii="Century Gothic" w:eastAsia="Times New Roman" w:hAnsi="Century Gothic" w:cs="Arial"/>
          <w:sz w:val="25"/>
          <w:szCs w:val="25"/>
          <w:lang w:eastAsia="es-MX"/>
        </w:rPr>
        <w:t xml:space="preserve"> ha cesado a solo siete empleados por acoso sexual, lo que representa una fracción menor de los casos denunciados. En el caso de la </w:t>
      </w:r>
      <w:r w:rsidR="00F51186" w:rsidRPr="00736F22">
        <w:rPr>
          <w:rFonts w:ascii="Century Gothic" w:eastAsia="Times New Roman" w:hAnsi="Century Gothic" w:cs="Arial"/>
          <w:sz w:val="25"/>
          <w:szCs w:val="25"/>
          <w:lang w:eastAsia="es-MX"/>
        </w:rPr>
        <w:t>Universidad Autónoma de Ciudad Juárez</w:t>
      </w:r>
      <w:r w:rsidRPr="00736F22">
        <w:rPr>
          <w:rFonts w:ascii="Century Gothic" w:eastAsia="Times New Roman" w:hAnsi="Century Gothic" w:cs="Arial"/>
          <w:sz w:val="25"/>
          <w:szCs w:val="25"/>
          <w:lang w:eastAsia="es-MX"/>
        </w:rPr>
        <w:t xml:space="preserve">, si bien se han registrado denuncias, no se ha reportado una respuesta contundente por parte de la </w:t>
      </w:r>
      <w:r w:rsidR="00046A8B" w:rsidRPr="00736F22">
        <w:rPr>
          <w:rFonts w:ascii="Century Gothic" w:eastAsia="Times New Roman" w:hAnsi="Century Gothic" w:cs="Arial"/>
          <w:sz w:val="25"/>
          <w:szCs w:val="25"/>
          <w:lang w:eastAsia="es-MX"/>
        </w:rPr>
        <w:t>I</w:t>
      </w:r>
      <w:r w:rsidRPr="00736F22">
        <w:rPr>
          <w:rFonts w:ascii="Century Gothic" w:eastAsia="Times New Roman" w:hAnsi="Century Gothic" w:cs="Arial"/>
          <w:sz w:val="25"/>
          <w:szCs w:val="25"/>
          <w:lang w:eastAsia="es-MX"/>
        </w:rPr>
        <w:t>nstitución.</w:t>
      </w:r>
    </w:p>
    <w:p w14:paraId="39CFF44F" w14:textId="28A404EA" w:rsidR="00CE6658" w:rsidRPr="00736F22" w:rsidRDefault="00CE6658" w:rsidP="00CE6658">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Según Patricia Avitia-Carlos, Doctora en Sistemas y Ambientes Educativos por la Universidad de Guadalajara, a pesar de que el tema sobre la violencia de género en las universidades se ha puesto en la mira pública en los últimos tiempos, la atención continua por parte de las universidades tiende a llevarse de caso en caso, como si se tratara de un problema individual y no como un problema organizacional que tiene que ser atendido por la institución en su conjunto:</w:t>
      </w:r>
    </w:p>
    <w:p w14:paraId="158159D9" w14:textId="212E3C85" w:rsidR="00CE6658" w:rsidRPr="00736F22" w:rsidRDefault="001922BF" w:rsidP="00CE6658">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 xml:space="preserve"> </w:t>
      </w:r>
      <w:r w:rsidR="00CE6658" w:rsidRPr="00736F22">
        <w:rPr>
          <w:rFonts w:ascii="Century Gothic" w:eastAsia="Times New Roman" w:hAnsi="Century Gothic" w:cs="Arial"/>
          <w:sz w:val="25"/>
          <w:szCs w:val="25"/>
          <w:lang w:eastAsia="es-MX"/>
        </w:rPr>
        <w:t xml:space="preserve">“De este modo, </w:t>
      </w:r>
      <w:r w:rsidR="00CE6658" w:rsidRPr="00736F22">
        <w:rPr>
          <w:rFonts w:ascii="Century Gothic" w:eastAsia="Times New Roman" w:hAnsi="Century Gothic" w:cs="Arial"/>
          <w:b/>
          <w:bCs/>
          <w:sz w:val="25"/>
          <w:szCs w:val="25"/>
          <w:lang w:eastAsia="es-MX"/>
        </w:rPr>
        <w:t>se coloca la responsabilidad en el individuo</w:t>
      </w:r>
      <w:r w:rsidR="00CE6658" w:rsidRPr="00736F22">
        <w:rPr>
          <w:rFonts w:ascii="Century Gothic" w:eastAsia="Times New Roman" w:hAnsi="Century Gothic" w:cs="Arial"/>
          <w:sz w:val="25"/>
          <w:szCs w:val="25"/>
          <w:lang w:eastAsia="es-MX"/>
        </w:rPr>
        <w:t xml:space="preserve">, manteniéndose así la falta de reconocimiento </w:t>
      </w:r>
      <w:r w:rsidR="004B357C" w:rsidRPr="00736F22">
        <w:rPr>
          <w:rFonts w:ascii="Century Gothic" w:eastAsia="Times New Roman" w:hAnsi="Century Gothic" w:cs="Arial"/>
          <w:sz w:val="25"/>
          <w:szCs w:val="25"/>
          <w:lang w:eastAsia="es-MX"/>
        </w:rPr>
        <w:t>al problema</w:t>
      </w:r>
      <w:r w:rsidR="00CE6658" w:rsidRPr="00736F22">
        <w:rPr>
          <w:rFonts w:ascii="Century Gothic" w:eastAsia="Times New Roman" w:hAnsi="Century Gothic" w:cs="Arial"/>
          <w:sz w:val="25"/>
          <w:szCs w:val="25"/>
          <w:lang w:eastAsia="es-MX"/>
        </w:rPr>
        <w:t xml:space="preserve">. Y es que al desplazar la responsabilidad hacia el individuo no se reconoce el papel que juegan las condiciones estructurales de la misma organización y se restringe el alcance de los mecanismos de atención que se implementan. De esta forma, incluso las políticas de </w:t>
      </w:r>
      <w:r w:rsidR="00030F51">
        <w:rPr>
          <w:rFonts w:ascii="Century Gothic" w:eastAsia="Times New Roman" w:hAnsi="Century Gothic" w:cs="Arial"/>
          <w:sz w:val="25"/>
          <w:szCs w:val="25"/>
          <w:lang w:eastAsia="es-MX"/>
        </w:rPr>
        <w:t>cero tolerancia</w:t>
      </w:r>
      <w:r w:rsidR="00CE6658" w:rsidRPr="00736F22">
        <w:rPr>
          <w:rFonts w:ascii="Century Gothic" w:eastAsia="Times New Roman" w:hAnsi="Century Gothic" w:cs="Arial"/>
          <w:sz w:val="25"/>
          <w:szCs w:val="25"/>
          <w:lang w:eastAsia="es-MX"/>
        </w:rPr>
        <w:t xml:space="preserve"> llegan a tener al </w:t>
      </w:r>
      <w:r w:rsidR="00CE6658" w:rsidRPr="00736F22">
        <w:rPr>
          <w:rFonts w:ascii="Century Gothic" w:eastAsia="Times New Roman" w:hAnsi="Century Gothic" w:cs="Arial"/>
          <w:sz w:val="25"/>
          <w:szCs w:val="25"/>
          <w:lang w:eastAsia="es-MX"/>
        </w:rPr>
        <w:lastRenderedPageBreak/>
        <w:t>final un carácter de protección a la universidad y su reputación de mercado”</w:t>
      </w:r>
      <w:r w:rsidR="00352F4B" w:rsidRPr="00736F22">
        <w:rPr>
          <w:rStyle w:val="Refdenotaalpie"/>
          <w:rFonts w:ascii="Century Gothic" w:eastAsia="Times New Roman" w:hAnsi="Century Gothic" w:cs="Arial"/>
          <w:sz w:val="25"/>
          <w:szCs w:val="25"/>
          <w:lang w:eastAsia="es-MX"/>
        </w:rPr>
        <w:footnoteReference w:id="3"/>
      </w:r>
    </w:p>
    <w:p w14:paraId="3394DD01" w14:textId="05162B87" w:rsidR="00CE6658" w:rsidRPr="00736F22" w:rsidRDefault="00CE6658" w:rsidP="00CE6658">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 xml:space="preserve">De acuerdo con </w:t>
      </w:r>
      <w:r w:rsidR="00632B1E" w:rsidRPr="00736F22">
        <w:rPr>
          <w:rFonts w:ascii="Century Gothic" w:eastAsia="Times New Roman" w:hAnsi="Century Gothic" w:cs="Arial"/>
          <w:sz w:val="25"/>
          <w:szCs w:val="25"/>
          <w:lang w:eastAsia="es-MX"/>
        </w:rPr>
        <w:t xml:space="preserve">la </w:t>
      </w:r>
      <w:r w:rsidR="009C65E8" w:rsidRPr="00736F22">
        <w:rPr>
          <w:rFonts w:ascii="Century Gothic" w:eastAsia="Times New Roman" w:hAnsi="Century Gothic" w:cs="Arial"/>
          <w:sz w:val="25"/>
          <w:szCs w:val="25"/>
          <w:lang w:eastAsia="es-MX"/>
        </w:rPr>
        <w:t xml:space="preserve">doctora </w:t>
      </w:r>
      <w:r w:rsidRPr="00736F22">
        <w:rPr>
          <w:rFonts w:ascii="Century Gothic" w:eastAsia="Times New Roman" w:hAnsi="Century Gothic" w:cs="Arial"/>
          <w:sz w:val="25"/>
          <w:szCs w:val="25"/>
          <w:lang w:eastAsia="es-MX"/>
        </w:rPr>
        <w:t>Helena Varela</w:t>
      </w:r>
      <w:r w:rsidR="00632B1E" w:rsidRPr="00736F22">
        <w:rPr>
          <w:rFonts w:ascii="Century Gothic" w:eastAsia="Times New Roman" w:hAnsi="Century Gothic" w:cs="Arial"/>
          <w:sz w:val="25"/>
          <w:szCs w:val="25"/>
          <w:lang w:eastAsia="es-MX"/>
        </w:rPr>
        <w:t xml:space="preserve"> </w:t>
      </w:r>
      <w:proofErr w:type="spellStart"/>
      <w:r w:rsidR="00632B1E" w:rsidRPr="00736F22">
        <w:rPr>
          <w:rFonts w:ascii="Century Gothic" w:eastAsia="Times New Roman" w:hAnsi="Century Gothic" w:cs="Arial"/>
          <w:sz w:val="25"/>
          <w:szCs w:val="25"/>
          <w:lang w:eastAsia="es-MX"/>
        </w:rPr>
        <w:t>Guinot</w:t>
      </w:r>
      <w:proofErr w:type="spellEnd"/>
      <w:r w:rsidR="00E55456" w:rsidRPr="00736F22">
        <w:rPr>
          <w:rFonts w:ascii="Century Gothic" w:eastAsia="Times New Roman" w:hAnsi="Century Gothic" w:cs="Arial"/>
          <w:sz w:val="25"/>
          <w:szCs w:val="25"/>
          <w:lang w:eastAsia="es-MX"/>
        </w:rPr>
        <w:t>, e</w:t>
      </w:r>
      <w:r w:rsidRPr="00736F22">
        <w:rPr>
          <w:rFonts w:ascii="Century Gothic" w:eastAsia="Times New Roman" w:hAnsi="Century Gothic" w:cs="Arial"/>
          <w:sz w:val="25"/>
          <w:szCs w:val="25"/>
          <w:lang w:eastAsia="es-MX"/>
        </w:rPr>
        <w:t>sto propicia que las autoridades escolares actúen de forma reactiva antes que proactiva, lo que trae como consecuencia que la institución se centre en su protección y no en la de las personas más vulnerables, “los representantes institucionales tienden a abordar estos casos con opacidad, sin reconocer la existencia de un problema sistémico</w:t>
      </w:r>
      <w:r w:rsidR="00473D24" w:rsidRPr="00736F22">
        <w:rPr>
          <w:rFonts w:ascii="Century Gothic" w:eastAsia="Times New Roman" w:hAnsi="Century Gothic" w:cs="Arial"/>
          <w:sz w:val="25"/>
          <w:szCs w:val="25"/>
          <w:lang w:eastAsia="es-MX"/>
        </w:rPr>
        <w:t>. […] E</w:t>
      </w:r>
      <w:r w:rsidRPr="00736F22">
        <w:rPr>
          <w:rFonts w:ascii="Century Gothic" w:eastAsia="Times New Roman" w:hAnsi="Century Gothic" w:cs="Arial"/>
          <w:sz w:val="25"/>
          <w:szCs w:val="25"/>
          <w:lang w:eastAsia="es-MX"/>
        </w:rPr>
        <w:t>sta reacción de las autoridades</w:t>
      </w:r>
      <w:r w:rsidR="0064087A" w:rsidRPr="00736F22">
        <w:rPr>
          <w:rFonts w:ascii="Century Gothic" w:eastAsia="Times New Roman" w:hAnsi="Century Gothic" w:cs="Arial"/>
          <w:sz w:val="25"/>
          <w:szCs w:val="25"/>
          <w:lang w:eastAsia="es-MX"/>
        </w:rPr>
        <w:t xml:space="preserve"> escolares</w:t>
      </w:r>
      <w:r w:rsidRPr="00736F22">
        <w:rPr>
          <w:rFonts w:ascii="Century Gothic" w:eastAsia="Times New Roman" w:hAnsi="Century Gothic" w:cs="Arial"/>
          <w:sz w:val="25"/>
          <w:szCs w:val="25"/>
          <w:lang w:eastAsia="es-MX"/>
        </w:rPr>
        <w:t xml:space="preserve"> puede explicarse por el temor a generar una oleada de denuncias con la consecuente afectación a la reputación de la institución y, </w:t>
      </w:r>
      <w:r w:rsidR="0064087A" w:rsidRPr="00736F22">
        <w:rPr>
          <w:rFonts w:ascii="Century Gothic" w:eastAsia="Times New Roman" w:hAnsi="Century Gothic" w:cs="Arial"/>
          <w:sz w:val="25"/>
          <w:szCs w:val="25"/>
          <w:lang w:eastAsia="es-MX"/>
        </w:rPr>
        <w:t>en mayor medida, por</w:t>
      </w:r>
      <w:r w:rsidRPr="00736F22">
        <w:rPr>
          <w:rFonts w:ascii="Century Gothic" w:eastAsia="Times New Roman" w:hAnsi="Century Gothic" w:cs="Arial"/>
          <w:sz w:val="25"/>
          <w:szCs w:val="25"/>
          <w:lang w:eastAsia="es-MX"/>
        </w:rPr>
        <w:t xml:space="preserve"> no alcanzar a dimensionar la extensión de la violencia de género existente”</w:t>
      </w:r>
      <w:r w:rsidR="00CB5FF9" w:rsidRPr="00736F22">
        <w:rPr>
          <w:rStyle w:val="Refdenotaalpie"/>
          <w:rFonts w:ascii="Century Gothic" w:eastAsia="Times New Roman" w:hAnsi="Century Gothic" w:cs="Arial"/>
          <w:sz w:val="25"/>
          <w:szCs w:val="25"/>
          <w:lang w:eastAsia="es-MX"/>
        </w:rPr>
        <w:footnoteReference w:id="4"/>
      </w:r>
      <w:r w:rsidR="009C65E8" w:rsidRPr="00736F22">
        <w:rPr>
          <w:rFonts w:ascii="Century Gothic" w:eastAsia="Times New Roman" w:hAnsi="Century Gothic" w:cs="Arial"/>
          <w:sz w:val="25"/>
          <w:szCs w:val="25"/>
          <w:lang w:eastAsia="es-MX"/>
        </w:rPr>
        <w:t>.</w:t>
      </w:r>
    </w:p>
    <w:p w14:paraId="6389E5F2" w14:textId="29445838" w:rsidR="00DB792C" w:rsidRPr="00736F22" w:rsidRDefault="001D4847" w:rsidP="009A1BC1">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De</w:t>
      </w:r>
      <w:r w:rsidR="009076F6" w:rsidRPr="00736F22">
        <w:rPr>
          <w:rFonts w:ascii="Century Gothic" w:eastAsia="Times New Roman" w:hAnsi="Century Gothic" w:cs="Arial"/>
          <w:sz w:val="25"/>
          <w:szCs w:val="25"/>
          <w:lang w:eastAsia="es-MX"/>
        </w:rPr>
        <w:t xml:space="preserve"> acuerdo con</w:t>
      </w:r>
      <w:r w:rsidR="00411DA0" w:rsidRPr="00736F22">
        <w:rPr>
          <w:rFonts w:ascii="Century Gothic" w:eastAsia="Times New Roman" w:hAnsi="Century Gothic" w:cs="Arial"/>
          <w:sz w:val="25"/>
          <w:szCs w:val="25"/>
          <w:lang w:eastAsia="es-MX"/>
        </w:rPr>
        <w:t xml:space="preserve"> diversas fuentes </w:t>
      </w:r>
      <w:r w:rsidR="009D7643" w:rsidRPr="00736F22">
        <w:rPr>
          <w:rFonts w:ascii="Century Gothic" w:eastAsia="Times New Roman" w:hAnsi="Century Gothic" w:cs="Arial"/>
          <w:sz w:val="25"/>
          <w:szCs w:val="25"/>
          <w:lang w:eastAsia="es-MX"/>
        </w:rPr>
        <w:t>las carreras más afectadas por violencia sexual son las de las facultades</w:t>
      </w:r>
      <w:r w:rsidR="00411DA0" w:rsidRPr="00736F22">
        <w:rPr>
          <w:rFonts w:ascii="Century Gothic" w:eastAsia="Times New Roman" w:hAnsi="Century Gothic" w:cs="Arial"/>
          <w:sz w:val="25"/>
          <w:szCs w:val="25"/>
          <w:lang w:eastAsia="es-MX"/>
        </w:rPr>
        <w:t xml:space="preserve"> de </w:t>
      </w:r>
      <w:r w:rsidR="00411DA0" w:rsidRPr="00736F22">
        <w:rPr>
          <w:rFonts w:ascii="Century Gothic" w:eastAsia="Times New Roman" w:hAnsi="Century Gothic" w:cs="Arial"/>
          <w:b/>
          <w:bCs/>
          <w:sz w:val="25"/>
          <w:szCs w:val="25"/>
          <w:lang w:eastAsia="es-MX"/>
        </w:rPr>
        <w:t>Medicina, Derecho, Artes, Filosofía y Letras, e Ingeniería</w:t>
      </w:r>
      <w:r w:rsidRPr="00736F22">
        <w:rPr>
          <w:rFonts w:ascii="Century Gothic" w:eastAsia="Times New Roman" w:hAnsi="Century Gothic" w:cs="Arial"/>
          <w:sz w:val="25"/>
          <w:szCs w:val="25"/>
          <w:lang w:eastAsia="es-MX"/>
        </w:rPr>
        <w:t xml:space="preserve">, las cuales </w:t>
      </w:r>
      <w:r w:rsidR="00411DA0" w:rsidRPr="00736F22">
        <w:rPr>
          <w:rFonts w:ascii="Century Gothic" w:eastAsia="Times New Roman" w:hAnsi="Century Gothic" w:cs="Arial"/>
          <w:sz w:val="25"/>
          <w:szCs w:val="25"/>
          <w:lang w:eastAsia="es-MX"/>
        </w:rPr>
        <w:t xml:space="preserve">concentran un número significativo de denuncias por acoso y hostigamiento, </w:t>
      </w:r>
      <w:r w:rsidR="00411DA0" w:rsidRPr="00736F22">
        <w:rPr>
          <w:rFonts w:ascii="Century Gothic" w:eastAsia="Times New Roman" w:hAnsi="Century Gothic" w:cs="Arial"/>
          <w:b/>
          <w:bCs/>
          <w:sz w:val="25"/>
          <w:szCs w:val="25"/>
          <w:lang w:eastAsia="es-MX"/>
        </w:rPr>
        <w:t>señalándose principalmente a catedráticos como responsables</w:t>
      </w:r>
      <w:r w:rsidR="00411DA0" w:rsidRPr="00736F22">
        <w:rPr>
          <w:rFonts w:ascii="Century Gothic" w:eastAsia="Times New Roman" w:hAnsi="Century Gothic" w:cs="Arial"/>
          <w:sz w:val="25"/>
          <w:szCs w:val="25"/>
          <w:lang w:eastAsia="es-MX"/>
        </w:rPr>
        <w:t>, aunque también hay casos que involucran a estudiantes y empleados administrativos.</w:t>
      </w:r>
    </w:p>
    <w:p w14:paraId="7C2B01E1" w14:textId="3ED5A263" w:rsidR="00E5465A" w:rsidRPr="00736F22" w:rsidRDefault="00FD4CBF" w:rsidP="009829A5">
      <w:pPr>
        <w:spacing w:before="100" w:beforeAutospacing="1" w:after="100" w:afterAutospacing="1" w:line="360" w:lineRule="auto"/>
        <w:jc w:val="both"/>
        <w:rPr>
          <w:rFonts w:ascii="Century Gothic" w:hAnsi="Century Gothic"/>
        </w:rPr>
      </w:pPr>
      <w:r w:rsidRPr="00736F22">
        <w:rPr>
          <w:rFonts w:ascii="Century Gothic" w:eastAsia="Times New Roman" w:hAnsi="Century Gothic" w:cs="Arial"/>
          <w:sz w:val="25"/>
          <w:szCs w:val="25"/>
          <w:lang w:eastAsia="es-MX"/>
        </w:rPr>
        <w:lastRenderedPageBreak/>
        <w:t xml:space="preserve">El aumento de casi un </w:t>
      </w:r>
      <w:r w:rsidR="00030F51" w:rsidRPr="00B22FB6">
        <w:rPr>
          <w:rFonts w:ascii="Century Gothic" w:eastAsia="Times New Roman" w:hAnsi="Century Gothic" w:cs="Arial"/>
          <w:b/>
          <w:sz w:val="25"/>
          <w:szCs w:val="25"/>
          <w:lang w:eastAsia="es-MX"/>
        </w:rPr>
        <w:t>40%</w:t>
      </w:r>
      <w:r w:rsidRPr="00B22FB6">
        <w:rPr>
          <w:rFonts w:ascii="Century Gothic" w:eastAsia="Times New Roman" w:hAnsi="Century Gothic" w:cs="Arial"/>
          <w:b/>
          <w:sz w:val="25"/>
          <w:szCs w:val="25"/>
          <w:lang w:eastAsia="es-MX"/>
        </w:rPr>
        <w:t xml:space="preserve"> en</w:t>
      </w:r>
      <w:r w:rsidR="009829A5" w:rsidRPr="00B22FB6">
        <w:rPr>
          <w:rFonts w:ascii="Century Gothic" w:eastAsia="Times New Roman" w:hAnsi="Century Gothic" w:cs="Arial"/>
          <w:b/>
          <w:sz w:val="25"/>
          <w:szCs w:val="25"/>
          <w:lang w:eastAsia="es-MX"/>
        </w:rPr>
        <w:t xml:space="preserve"> las denuncias</w:t>
      </w:r>
      <w:r w:rsidR="00691B3A" w:rsidRPr="00736F22">
        <w:rPr>
          <w:rFonts w:ascii="Century Gothic" w:eastAsia="Times New Roman" w:hAnsi="Century Gothic" w:cs="Arial"/>
          <w:sz w:val="25"/>
          <w:szCs w:val="25"/>
          <w:lang w:eastAsia="es-MX"/>
        </w:rPr>
        <w:t>,</w:t>
      </w:r>
      <w:r w:rsidR="009829A5" w:rsidRPr="00736F22">
        <w:rPr>
          <w:rFonts w:ascii="Century Gothic" w:eastAsia="Times New Roman" w:hAnsi="Century Gothic" w:cs="Arial"/>
          <w:sz w:val="25"/>
          <w:szCs w:val="25"/>
          <w:lang w:eastAsia="es-MX"/>
        </w:rPr>
        <w:t xml:space="preserve"> y </w:t>
      </w:r>
      <w:r w:rsidR="00691B3A" w:rsidRPr="00736F22">
        <w:rPr>
          <w:rFonts w:ascii="Century Gothic" w:eastAsia="Times New Roman" w:hAnsi="Century Gothic" w:cs="Arial"/>
          <w:sz w:val="25"/>
          <w:szCs w:val="25"/>
          <w:lang w:eastAsia="es-MX"/>
        </w:rPr>
        <w:t>el sentimiento generalizado</w:t>
      </w:r>
      <w:r w:rsidR="009829A5" w:rsidRPr="00736F22">
        <w:rPr>
          <w:rFonts w:ascii="Century Gothic" w:eastAsia="Times New Roman" w:hAnsi="Century Gothic" w:cs="Arial"/>
          <w:sz w:val="25"/>
          <w:szCs w:val="25"/>
          <w:lang w:eastAsia="es-MX"/>
        </w:rPr>
        <w:t xml:space="preserve"> de impunidad</w:t>
      </w:r>
      <w:r w:rsidR="00691B3A" w:rsidRPr="00736F22">
        <w:rPr>
          <w:rFonts w:ascii="Century Gothic" w:eastAsia="Times New Roman" w:hAnsi="Century Gothic" w:cs="Arial"/>
          <w:sz w:val="25"/>
          <w:szCs w:val="25"/>
          <w:lang w:eastAsia="es-MX"/>
        </w:rPr>
        <w:t xml:space="preserve"> por parte de las autoridades educativas,</w:t>
      </w:r>
      <w:r w:rsidR="009829A5" w:rsidRPr="00736F22">
        <w:rPr>
          <w:rFonts w:ascii="Century Gothic" w:eastAsia="Times New Roman" w:hAnsi="Century Gothic" w:cs="Arial"/>
          <w:sz w:val="25"/>
          <w:szCs w:val="25"/>
          <w:lang w:eastAsia="es-MX"/>
        </w:rPr>
        <w:t xml:space="preserve"> reflejan la necesidad urgente de que </w:t>
      </w:r>
      <w:r w:rsidR="00691B3A" w:rsidRPr="00736F22">
        <w:rPr>
          <w:rFonts w:ascii="Century Gothic" w:eastAsia="Times New Roman" w:hAnsi="Century Gothic" w:cs="Arial"/>
          <w:sz w:val="25"/>
          <w:szCs w:val="25"/>
          <w:lang w:eastAsia="es-MX"/>
        </w:rPr>
        <w:t>la UACH y la UACJ</w:t>
      </w:r>
      <w:r w:rsidR="009829A5" w:rsidRPr="00736F22">
        <w:rPr>
          <w:rFonts w:ascii="Century Gothic" w:eastAsia="Times New Roman" w:hAnsi="Century Gothic" w:cs="Arial"/>
          <w:sz w:val="25"/>
          <w:szCs w:val="25"/>
          <w:lang w:eastAsia="es-MX"/>
        </w:rPr>
        <w:t xml:space="preserve"> implementen políticas más estrictas, efectivas y transparentes en torno a la prevención, atención y sanción de la violencia de género</w:t>
      </w:r>
      <w:r w:rsidR="00E5465A" w:rsidRPr="00736F22">
        <w:rPr>
          <w:rFonts w:ascii="Century Gothic" w:eastAsia="Times New Roman" w:hAnsi="Century Gothic" w:cs="Arial"/>
          <w:sz w:val="25"/>
          <w:szCs w:val="25"/>
          <w:lang w:eastAsia="es-MX"/>
        </w:rPr>
        <w:t>, p</w:t>
      </w:r>
      <w:r w:rsidR="007C0F6C" w:rsidRPr="00736F22">
        <w:rPr>
          <w:rFonts w:ascii="Century Gothic" w:eastAsia="Times New Roman" w:hAnsi="Century Gothic" w:cs="Arial"/>
          <w:sz w:val="25"/>
          <w:szCs w:val="25"/>
          <w:lang w:eastAsia="es-MX"/>
        </w:rPr>
        <w:t>orque e</w:t>
      </w:r>
      <w:r w:rsidR="009829A5" w:rsidRPr="00736F22">
        <w:rPr>
          <w:rFonts w:ascii="Century Gothic" w:eastAsia="Times New Roman" w:hAnsi="Century Gothic" w:cs="Arial"/>
          <w:sz w:val="25"/>
          <w:szCs w:val="25"/>
          <w:lang w:eastAsia="es-MX"/>
        </w:rPr>
        <w:t>sta falta de efectividad y transparencia perpetúa la sensación de impunidad, normaliza la violencia y des</w:t>
      </w:r>
      <w:r w:rsidR="0013076B" w:rsidRPr="00736F22">
        <w:rPr>
          <w:rFonts w:ascii="Century Gothic" w:eastAsia="Times New Roman" w:hAnsi="Century Gothic" w:cs="Arial"/>
          <w:sz w:val="25"/>
          <w:szCs w:val="25"/>
          <w:lang w:eastAsia="es-MX"/>
        </w:rPr>
        <w:t>alienta</w:t>
      </w:r>
      <w:r w:rsidR="009829A5" w:rsidRPr="00736F22">
        <w:rPr>
          <w:rFonts w:ascii="Century Gothic" w:eastAsia="Times New Roman" w:hAnsi="Century Gothic" w:cs="Arial"/>
          <w:sz w:val="25"/>
          <w:szCs w:val="25"/>
          <w:lang w:eastAsia="es-MX"/>
        </w:rPr>
        <w:t xml:space="preserve"> la denuncia de nuevos casos.</w:t>
      </w:r>
      <w:r w:rsidR="009829A5" w:rsidRPr="00736F22">
        <w:rPr>
          <w:rFonts w:ascii="Century Gothic" w:hAnsi="Century Gothic"/>
        </w:rPr>
        <w:t xml:space="preserve"> </w:t>
      </w:r>
    </w:p>
    <w:p w14:paraId="7A48A2BA" w14:textId="22E2C972" w:rsidR="00873E7A" w:rsidRPr="00736F22" w:rsidRDefault="00F51186"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Es importante recordar que, a través de la sentencia de</w:t>
      </w:r>
      <w:r w:rsidR="00442E01" w:rsidRPr="00736F22">
        <w:rPr>
          <w:rFonts w:ascii="Century Gothic" w:eastAsia="Times New Roman" w:hAnsi="Century Gothic" w:cs="Arial"/>
          <w:sz w:val="25"/>
          <w:szCs w:val="25"/>
          <w:lang w:eastAsia="es-MX"/>
        </w:rPr>
        <w:t>l</w:t>
      </w:r>
      <w:r w:rsidRPr="00736F22">
        <w:rPr>
          <w:rFonts w:ascii="Century Gothic" w:eastAsia="Times New Roman" w:hAnsi="Century Gothic" w:cs="Arial"/>
          <w:sz w:val="25"/>
          <w:szCs w:val="25"/>
          <w:lang w:eastAsia="es-MX"/>
        </w:rPr>
        <w:t xml:space="preserve"> Campo Algodonero vs México</w:t>
      </w:r>
      <w:r w:rsidR="00442E01" w:rsidRPr="00736F22">
        <w:rPr>
          <w:rFonts w:ascii="Century Gothic" w:eastAsia="Times New Roman" w:hAnsi="Century Gothic" w:cs="Arial"/>
          <w:sz w:val="25"/>
          <w:szCs w:val="25"/>
          <w:lang w:eastAsia="es-MX"/>
        </w:rPr>
        <w:t>,</w:t>
      </w:r>
      <w:r w:rsidRPr="00736F22">
        <w:rPr>
          <w:rFonts w:ascii="Century Gothic" w:eastAsia="Times New Roman" w:hAnsi="Century Gothic" w:cs="Arial"/>
          <w:sz w:val="25"/>
          <w:szCs w:val="25"/>
          <w:lang w:eastAsia="es-MX"/>
        </w:rPr>
        <w:t xml:space="preserve"> emitida por la Corte Interamerica</w:t>
      </w:r>
      <w:r w:rsidR="00873E7A" w:rsidRPr="00736F22">
        <w:rPr>
          <w:rFonts w:ascii="Century Gothic" w:eastAsia="Times New Roman" w:hAnsi="Century Gothic" w:cs="Arial"/>
          <w:sz w:val="25"/>
          <w:szCs w:val="25"/>
          <w:lang w:eastAsia="es-MX"/>
        </w:rPr>
        <w:t xml:space="preserve">na de Derechos Humanos (CIDH), </w:t>
      </w:r>
      <w:r w:rsidR="00442E01" w:rsidRPr="00736F22">
        <w:rPr>
          <w:rFonts w:ascii="Century Gothic" w:eastAsia="Times New Roman" w:hAnsi="Century Gothic" w:cs="Arial"/>
          <w:sz w:val="25"/>
          <w:szCs w:val="25"/>
          <w:lang w:eastAsia="es-MX"/>
        </w:rPr>
        <w:t xml:space="preserve">se </w:t>
      </w:r>
      <w:r w:rsidRPr="00736F22">
        <w:rPr>
          <w:rFonts w:ascii="Century Gothic" w:eastAsia="Times New Roman" w:hAnsi="Century Gothic" w:cs="Arial"/>
          <w:sz w:val="25"/>
          <w:szCs w:val="25"/>
          <w:lang w:eastAsia="es-MX"/>
        </w:rPr>
        <w:t xml:space="preserve">estableció la responsabilidad del Estado </w:t>
      </w:r>
      <w:r w:rsidR="00873E7A" w:rsidRPr="00736F22">
        <w:rPr>
          <w:rFonts w:ascii="Century Gothic" w:eastAsia="Times New Roman" w:hAnsi="Century Gothic" w:cs="Arial"/>
          <w:sz w:val="25"/>
          <w:szCs w:val="25"/>
          <w:lang w:eastAsia="es-MX"/>
        </w:rPr>
        <w:t>M</w:t>
      </w:r>
      <w:r w:rsidRPr="00736F22">
        <w:rPr>
          <w:rFonts w:ascii="Century Gothic" w:eastAsia="Times New Roman" w:hAnsi="Century Gothic" w:cs="Arial"/>
          <w:sz w:val="25"/>
          <w:szCs w:val="25"/>
          <w:lang w:eastAsia="es-MX"/>
        </w:rPr>
        <w:t xml:space="preserve">exicano en la prevención, investigación y sanción de la violencia contra las mujeres. </w:t>
      </w:r>
    </w:p>
    <w:p w14:paraId="09D5DD3B" w14:textId="77777777" w:rsidR="00873E7A" w:rsidRPr="00736F22" w:rsidRDefault="00F51186"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 xml:space="preserve">Esta sentencia generó precedentes en el ámbito judicial y legislativo, impulsando la adopción de protocolos y mecanismos de protección para víctimas de violencia de género. </w:t>
      </w:r>
    </w:p>
    <w:p w14:paraId="3960D3E3" w14:textId="7BB33E8E" w:rsidR="009829A5" w:rsidRPr="00736F22" w:rsidRDefault="00F51186"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 xml:space="preserve">En el contexto universitario, la sentencia refuerza la obligación de las instituciones educativas de garantizar entornos seguros y libres de violencia, implementando medidas de prevención efectivas y asegurando el acceso a la justicia para las víctimas de acoso y hostigamiento. </w:t>
      </w:r>
    </w:p>
    <w:p w14:paraId="290E0297" w14:textId="01C6464D" w:rsidR="00DD72F4" w:rsidRPr="00736F22" w:rsidRDefault="009829A5"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lastRenderedPageBreak/>
        <w:t>En este mismo sentido la Convención Americana en su artículo 1.1 señala la obligación del Estado de respetar los derechos humanos y libertades, así como garantizar su libre y pleno ejercicio</w:t>
      </w:r>
      <w:r w:rsidR="006528BD" w:rsidRPr="00736F22">
        <w:rPr>
          <w:rFonts w:ascii="Century Gothic" w:eastAsia="Times New Roman" w:hAnsi="Century Gothic" w:cs="Arial"/>
          <w:sz w:val="25"/>
          <w:szCs w:val="25"/>
          <w:lang w:eastAsia="es-MX"/>
        </w:rPr>
        <w:t xml:space="preserve"> de los derechos humanos.</w:t>
      </w:r>
    </w:p>
    <w:p w14:paraId="4A44BD7E" w14:textId="3E6B796C" w:rsidR="00DD72F4" w:rsidRPr="00736F22" w:rsidRDefault="00DD72F4"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El Mecanismo para la Prevención y Atención de Casos de Hostigamiento y Acoso S</w:t>
      </w:r>
      <w:r w:rsidR="00E53858" w:rsidRPr="00736F22">
        <w:rPr>
          <w:rFonts w:ascii="Century Gothic" w:eastAsia="Times New Roman" w:hAnsi="Century Gothic" w:cs="Arial"/>
          <w:sz w:val="25"/>
          <w:szCs w:val="25"/>
          <w:lang w:eastAsia="es-MX"/>
        </w:rPr>
        <w:t xml:space="preserve">exual en las Universidades de </w:t>
      </w:r>
      <w:r w:rsidRPr="00736F22">
        <w:rPr>
          <w:rFonts w:ascii="Century Gothic" w:eastAsia="Times New Roman" w:hAnsi="Century Gothic" w:cs="Arial"/>
          <w:sz w:val="25"/>
          <w:szCs w:val="25"/>
          <w:lang w:eastAsia="es-MX"/>
        </w:rPr>
        <w:t>Mujeres, nos dice que debe de tomarse acción inmediata, sensible y oportuna en la atención de las víctimas, y entre las directrices que se deben de seguir para ello</w:t>
      </w:r>
      <w:r w:rsidR="00735125" w:rsidRPr="00736F22">
        <w:rPr>
          <w:rFonts w:ascii="Century Gothic" w:eastAsia="Times New Roman" w:hAnsi="Century Gothic" w:cs="Arial"/>
          <w:sz w:val="25"/>
          <w:szCs w:val="25"/>
          <w:lang w:eastAsia="es-MX"/>
        </w:rPr>
        <w:t>,</w:t>
      </w:r>
      <w:r w:rsidRPr="00736F22">
        <w:rPr>
          <w:rFonts w:ascii="Century Gothic" w:eastAsia="Times New Roman" w:hAnsi="Century Gothic" w:cs="Arial"/>
          <w:sz w:val="25"/>
          <w:szCs w:val="25"/>
          <w:lang w:eastAsia="es-MX"/>
        </w:rPr>
        <w:t xml:space="preserve"> el acceso a la información y la transparencia son ejes fundamentales.</w:t>
      </w:r>
    </w:p>
    <w:p w14:paraId="62171E97" w14:textId="5F37F228" w:rsidR="009829A5" w:rsidRPr="00736F22" w:rsidRDefault="00D1509E"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Por ello,</w:t>
      </w:r>
      <w:r w:rsidR="004B1AAD" w:rsidRPr="00736F22">
        <w:rPr>
          <w:rFonts w:ascii="Century Gothic" w:eastAsia="Times New Roman" w:hAnsi="Century Gothic" w:cs="Arial"/>
          <w:sz w:val="25"/>
          <w:szCs w:val="25"/>
          <w:lang w:eastAsia="es-MX"/>
        </w:rPr>
        <w:t xml:space="preserve"> se debe</w:t>
      </w:r>
      <w:r w:rsidR="009829A5" w:rsidRPr="00736F22">
        <w:rPr>
          <w:rFonts w:ascii="Century Gothic" w:eastAsia="Times New Roman" w:hAnsi="Century Gothic" w:cs="Arial"/>
          <w:sz w:val="25"/>
          <w:szCs w:val="25"/>
          <w:lang w:eastAsia="es-MX"/>
        </w:rPr>
        <w:t xml:space="preserve"> subrayar que </w:t>
      </w:r>
      <w:r w:rsidR="009829A5" w:rsidRPr="00736F22">
        <w:rPr>
          <w:rFonts w:ascii="Century Gothic" w:eastAsia="Times New Roman" w:hAnsi="Century Gothic" w:cs="Arial"/>
          <w:b/>
          <w:bCs/>
          <w:color w:val="000000" w:themeColor="text1"/>
          <w:sz w:val="25"/>
          <w:szCs w:val="25"/>
          <w:lang w:eastAsia="es-MX"/>
        </w:rPr>
        <w:t xml:space="preserve">la autonomía universitaria no puede </w:t>
      </w:r>
      <w:r w:rsidR="004B1AAD" w:rsidRPr="00736F22">
        <w:rPr>
          <w:rFonts w:ascii="Century Gothic" w:eastAsia="Times New Roman" w:hAnsi="Century Gothic" w:cs="Arial"/>
          <w:b/>
          <w:bCs/>
          <w:color w:val="000000" w:themeColor="text1"/>
          <w:sz w:val="25"/>
          <w:szCs w:val="25"/>
          <w:lang w:eastAsia="es-MX"/>
        </w:rPr>
        <w:t xml:space="preserve">estar por encima de la seguridad </w:t>
      </w:r>
      <w:r w:rsidR="00D577A4" w:rsidRPr="00736F22">
        <w:rPr>
          <w:rFonts w:ascii="Century Gothic" w:eastAsia="Times New Roman" w:hAnsi="Century Gothic" w:cs="Arial"/>
          <w:b/>
          <w:bCs/>
          <w:color w:val="000000" w:themeColor="text1"/>
          <w:sz w:val="25"/>
          <w:szCs w:val="25"/>
          <w:lang w:eastAsia="es-MX"/>
        </w:rPr>
        <w:t>y la integridad de las mujeres</w:t>
      </w:r>
      <w:r w:rsidR="00D577A4" w:rsidRPr="00736F22">
        <w:rPr>
          <w:rFonts w:ascii="Century Gothic" w:eastAsia="Times New Roman" w:hAnsi="Century Gothic" w:cs="Arial"/>
          <w:sz w:val="25"/>
          <w:szCs w:val="25"/>
          <w:lang w:eastAsia="es-MX"/>
        </w:rPr>
        <w:t xml:space="preserve">, y no debe de </w:t>
      </w:r>
      <w:r w:rsidR="009829A5" w:rsidRPr="00736F22">
        <w:rPr>
          <w:rFonts w:ascii="Century Gothic" w:eastAsia="Times New Roman" w:hAnsi="Century Gothic" w:cs="Arial"/>
          <w:sz w:val="25"/>
          <w:szCs w:val="25"/>
          <w:lang w:eastAsia="es-MX"/>
        </w:rPr>
        <w:t xml:space="preserve">ser utilizada como excusa para evadir </w:t>
      </w:r>
      <w:r w:rsidR="00D577A4" w:rsidRPr="00736F22">
        <w:rPr>
          <w:rFonts w:ascii="Century Gothic" w:eastAsia="Times New Roman" w:hAnsi="Century Gothic" w:cs="Arial"/>
          <w:sz w:val="25"/>
          <w:szCs w:val="25"/>
          <w:lang w:eastAsia="es-MX"/>
        </w:rPr>
        <w:t xml:space="preserve">la responsabilidad de </w:t>
      </w:r>
      <w:r w:rsidR="009D35E9" w:rsidRPr="00736F22">
        <w:rPr>
          <w:rFonts w:ascii="Century Gothic" w:eastAsia="Times New Roman" w:hAnsi="Century Gothic" w:cs="Arial"/>
          <w:sz w:val="25"/>
          <w:szCs w:val="25"/>
          <w:lang w:eastAsia="es-MX"/>
        </w:rPr>
        <w:t>atender las denuncias y llevar justicia a las sobrevivientes.</w:t>
      </w:r>
    </w:p>
    <w:p w14:paraId="2BFD67F7" w14:textId="0D078000" w:rsidR="009829A5" w:rsidRPr="00736F22" w:rsidRDefault="00D30D8A"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Las</w:t>
      </w:r>
      <w:r w:rsidR="009829A5" w:rsidRPr="00736F22">
        <w:rPr>
          <w:rFonts w:ascii="Century Gothic" w:eastAsia="Times New Roman" w:hAnsi="Century Gothic" w:cs="Arial"/>
          <w:sz w:val="25"/>
          <w:szCs w:val="25"/>
          <w:lang w:eastAsia="es-MX"/>
        </w:rPr>
        <w:t xml:space="preserve"> instituciones de educación superior tienen la obligación de garantizar espacios seguros, libres de violencia y discriminación, y de rendir cuentas claras y transparentes sobre las acciones implementadas para prevenir, atender y sancionar la violencia de género.</w:t>
      </w:r>
    </w:p>
    <w:p w14:paraId="338A31CB" w14:textId="77777777" w:rsidR="009829A5" w:rsidRPr="00736F22" w:rsidRDefault="009829A5"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 xml:space="preserve">Los estudiantes, docentes y demás personal de apoyo, particularmente las mujeres, merecen entornos educativos libres de violencia en los que se respete su dignidad y se garantice su seguridad. </w:t>
      </w:r>
    </w:p>
    <w:p w14:paraId="704B92BE" w14:textId="21E4FA7B" w:rsidR="009829A5" w:rsidRPr="00736F22" w:rsidRDefault="009829A5"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lastRenderedPageBreak/>
        <w:t>Por estas razones, res</w:t>
      </w:r>
      <w:r w:rsidR="00FA506A" w:rsidRPr="00736F22">
        <w:rPr>
          <w:rFonts w:ascii="Century Gothic" w:eastAsia="Times New Roman" w:hAnsi="Century Gothic" w:cs="Arial"/>
          <w:sz w:val="25"/>
          <w:szCs w:val="25"/>
          <w:lang w:eastAsia="es-MX"/>
        </w:rPr>
        <w:t xml:space="preserve">ulta imperativo que las titulares de las unidades </w:t>
      </w:r>
      <w:r w:rsidR="000F77F0" w:rsidRPr="00736F22">
        <w:rPr>
          <w:rFonts w:ascii="Century Gothic" w:eastAsia="Times New Roman" w:hAnsi="Century Gothic" w:cs="Arial"/>
          <w:sz w:val="25"/>
          <w:szCs w:val="25"/>
          <w:lang w:eastAsia="es-MX"/>
        </w:rPr>
        <w:t>de Gé</w:t>
      </w:r>
      <w:r w:rsidR="00FA506A" w:rsidRPr="00736F22">
        <w:rPr>
          <w:rFonts w:ascii="Century Gothic" w:eastAsia="Times New Roman" w:hAnsi="Century Gothic" w:cs="Arial"/>
          <w:sz w:val="25"/>
          <w:szCs w:val="25"/>
          <w:lang w:eastAsia="es-MX"/>
        </w:rPr>
        <w:t>nero</w:t>
      </w:r>
      <w:r w:rsidRPr="00736F22">
        <w:rPr>
          <w:rFonts w:ascii="Century Gothic" w:eastAsia="Times New Roman" w:hAnsi="Century Gothic" w:cs="Arial"/>
          <w:sz w:val="25"/>
          <w:szCs w:val="25"/>
          <w:lang w:eastAsia="es-MX"/>
        </w:rPr>
        <w:t xml:space="preserve"> de ambas instituciones comparezcan ante esta Soberanía para que informen de manera detallad</w:t>
      </w:r>
      <w:r w:rsidR="00692395" w:rsidRPr="00736F22">
        <w:rPr>
          <w:rFonts w:ascii="Century Gothic" w:eastAsia="Times New Roman" w:hAnsi="Century Gothic" w:cs="Arial"/>
          <w:sz w:val="25"/>
          <w:szCs w:val="25"/>
          <w:lang w:eastAsia="es-MX"/>
        </w:rPr>
        <w:t>a</w:t>
      </w:r>
      <w:r w:rsidRPr="00736F22">
        <w:rPr>
          <w:rFonts w:ascii="Century Gothic" w:eastAsia="Times New Roman" w:hAnsi="Century Gothic" w:cs="Arial"/>
          <w:sz w:val="25"/>
          <w:szCs w:val="25"/>
          <w:lang w:eastAsia="es-MX"/>
        </w:rPr>
        <w:t xml:space="preserve"> respecto:</w:t>
      </w:r>
    </w:p>
    <w:p w14:paraId="1D9E2077" w14:textId="38B37E72" w:rsidR="00F047BB" w:rsidRPr="00474FDD" w:rsidRDefault="00F047BB" w:rsidP="00F047BB">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sz w:val="25"/>
          <w:szCs w:val="25"/>
          <w:lang w:eastAsia="es-MX"/>
        </w:rPr>
        <w:t>Es por todo lo anterior que someto a esta honorable soberanía el siguiente,</w:t>
      </w:r>
    </w:p>
    <w:p w14:paraId="609EE232" w14:textId="77777777" w:rsidR="009829A5" w:rsidRPr="00736F22" w:rsidRDefault="009829A5" w:rsidP="009829A5">
      <w:pPr>
        <w:spacing w:before="100" w:beforeAutospacing="1" w:after="100" w:afterAutospacing="1" w:line="360" w:lineRule="auto"/>
        <w:jc w:val="center"/>
        <w:rPr>
          <w:rFonts w:ascii="Century Gothic" w:eastAsia="Times New Roman" w:hAnsi="Century Gothic" w:cs="Arial"/>
          <w:sz w:val="25"/>
          <w:szCs w:val="25"/>
          <w:lang w:eastAsia="es-MX"/>
        </w:rPr>
      </w:pPr>
      <w:r w:rsidRPr="00736F22">
        <w:rPr>
          <w:rFonts w:ascii="Century Gothic" w:eastAsia="Times New Roman" w:hAnsi="Century Gothic" w:cs="Arial"/>
          <w:b/>
          <w:bCs/>
          <w:sz w:val="25"/>
          <w:szCs w:val="25"/>
          <w:lang w:eastAsia="es-MX"/>
        </w:rPr>
        <w:t>PUNTO DE ACUERDO</w:t>
      </w:r>
    </w:p>
    <w:p w14:paraId="4A587826" w14:textId="766FB8D6" w:rsidR="009829A5" w:rsidRPr="00736F22" w:rsidRDefault="0012127A"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b/>
          <w:bCs/>
          <w:sz w:val="25"/>
          <w:szCs w:val="25"/>
          <w:lang w:eastAsia="es-MX"/>
        </w:rPr>
        <w:t>ÚNICO.</w:t>
      </w:r>
      <w:r w:rsidR="00011524">
        <w:rPr>
          <w:rFonts w:ascii="Century Gothic" w:eastAsia="Times New Roman" w:hAnsi="Century Gothic" w:cs="Arial"/>
          <w:sz w:val="25"/>
          <w:szCs w:val="25"/>
          <w:lang w:eastAsia="es-MX"/>
        </w:rPr>
        <w:t xml:space="preserve"> </w:t>
      </w:r>
      <w:r w:rsidR="00FB7CEB" w:rsidRPr="00736F22">
        <w:rPr>
          <w:rFonts w:ascii="Century Gothic" w:eastAsia="Times New Roman" w:hAnsi="Century Gothic" w:cs="Arial"/>
          <w:b/>
          <w:bCs/>
          <w:sz w:val="25"/>
          <w:szCs w:val="25"/>
          <w:lang w:eastAsia="es-MX"/>
        </w:rPr>
        <w:t xml:space="preserve">LA SEXAGÉSIMA OCTAVA LEGISLATURA DEL H. CONGRESO DEL ESTADO DE CHIHUAHUA, CON FUNDAMENTO EN EL ARTÍCULO 64, FRACCIÓN XLVII DE LA CONSTITUCIÓN POLÍTICA DEL ESTADO, SOLICITA RESPETUOSAMENTE LA COMPARECENCIA ANTE </w:t>
      </w:r>
      <w:r w:rsidR="008B4B1A" w:rsidRPr="00736F22">
        <w:rPr>
          <w:rFonts w:ascii="Century Gothic" w:eastAsia="Times New Roman" w:hAnsi="Century Gothic" w:cs="Arial"/>
          <w:b/>
          <w:bCs/>
          <w:color w:val="000000" w:themeColor="text1"/>
          <w:sz w:val="25"/>
          <w:szCs w:val="25"/>
          <w:lang w:eastAsia="es-MX"/>
        </w:rPr>
        <w:t xml:space="preserve">LA </w:t>
      </w:r>
      <w:r w:rsidR="008B4B1A">
        <w:rPr>
          <w:rFonts w:ascii="Century Gothic" w:eastAsia="Times New Roman" w:hAnsi="Century Gothic" w:cs="Arial"/>
          <w:b/>
          <w:bCs/>
          <w:color w:val="000000" w:themeColor="text1"/>
          <w:sz w:val="25"/>
          <w:szCs w:val="25"/>
          <w:lang w:eastAsia="es-MX"/>
        </w:rPr>
        <w:t>COMISIÓN DE IGUALDAD A</w:t>
      </w:r>
      <w:r w:rsidR="00FB7CEB" w:rsidRPr="00736F22">
        <w:rPr>
          <w:rFonts w:ascii="Century Gothic" w:eastAsia="Times New Roman" w:hAnsi="Century Gothic" w:cs="Arial"/>
          <w:b/>
          <w:bCs/>
          <w:sz w:val="25"/>
          <w:szCs w:val="25"/>
          <w:lang w:eastAsia="es-MX"/>
        </w:rPr>
        <w:t xml:space="preserve"> LA TITULAR DE LA DEFENSORÍA DE LOS DERECHOS UNIVERSITARIOS, IGUALDAD Y ATENCIÓN A LA VIOLENCIA DE GÉNERO DE LA UNIVERSIDAD AUTÓNOMA DE CHIHUAHUA Y DE LA TITULAR DE LA UNIDAD DE GÉNERO DE LA UNIVERSIDAD AUTÓNOMA DE CIUDAD JUÁREZ</w:t>
      </w:r>
      <w:r w:rsidR="00134E22">
        <w:rPr>
          <w:rFonts w:ascii="Century Gothic" w:eastAsia="Times New Roman" w:hAnsi="Century Gothic" w:cs="Arial"/>
          <w:b/>
          <w:bCs/>
          <w:sz w:val="25"/>
          <w:szCs w:val="25"/>
          <w:lang w:eastAsia="es-MX"/>
        </w:rPr>
        <w:t>, POR CONDUCTO DE LOS RECTORES DE DICHAS UNIVERSIDADES</w:t>
      </w:r>
      <w:r w:rsidR="00FB7CEB" w:rsidRPr="00736F22">
        <w:rPr>
          <w:rFonts w:ascii="Century Gothic" w:eastAsia="Times New Roman" w:hAnsi="Century Gothic" w:cs="Arial"/>
          <w:b/>
          <w:bCs/>
          <w:sz w:val="25"/>
          <w:szCs w:val="25"/>
          <w:lang w:eastAsia="es-MX"/>
        </w:rPr>
        <w:t>, A FIN DE QUE INFORMEN SOBRE LAS DENUNCIAS PRESENTADAS Y LOS PROCEDIMIENTOS INTERNOS IMPLEMENTADOS PARA ATENDER LOS CASOS DE ACOSO Y HOSTIGAMIENTO EN DICHAS INSTITUCIONES</w:t>
      </w:r>
      <w:r w:rsidRPr="00736F22">
        <w:rPr>
          <w:rFonts w:ascii="Century Gothic" w:eastAsia="Times New Roman" w:hAnsi="Century Gothic" w:cs="Arial"/>
          <w:b/>
          <w:bCs/>
          <w:sz w:val="25"/>
          <w:szCs w:val="25"/>
          <w:lang w:eastAsia="es-MX"/>
        </w:rPr>
        <w:t>.</w:t>
      </w:r>
    </w:p>
    <w:p w14:paraId="59032509" w14:textId="77777777" w:rsidR="0012127A" w:rsidRPr="00736F22" w:rsidRDefault="0012127A" w:rsidP="0012127A">
      <w:pPr>
        <w:spacing w:after="100" w:afterAutospacing="1" w:line="360" w:lineRule="auto"/>
        <w:jc w:val="center"/>
        <w:rPr>
          <w:rFonts w:ascii="Century Gothic" w:eastAsia="Times New Roman" w:hAnsi="Century Gothic" w:cs="Arial"/>
          <w:b/>
          <w:sz w:val="25"/>
          <w:szCs w:val="25"/>
          <w:lang w:eastAsia="es-MX"/>
        </w:rPr>
      </w:pPr>
      <w:r w:rsidRPr="00736F22">
        <w:rPr>
          <w:rFonts w:ascii="Century Gothic" w:eastAsia="Times New Roman" w:hAnsi="Century Gothic" w:cs="Arial"/>
          <w:b/>
          <w:sz w:val="25"/>
          <w:szCs w:val="25"/>
          <w:lang w:eastAsia="es-MX"/>
        </w:rPr>
        <w:t>ECONÓMICO.</w:t>
      </w:r>
    </w:p>
    <w:p w14:paraId="72AA09AC" w14:textId="68B0B5CA" w:rsidR="0012127A" w:rsidRPr="00736F22" w:rsidRDefault="0012127A" w:rsidP="0012127A">
      <w:pPr>
        <w:spacing w:after="100" w:afterAutospacing="1" w:line="360" w:lineRule="auto"/>
        <w:jc w:val="both"/>
        <w:rPr>
          <w:rFonts w:ascii="Century Gothic" w:eastAsia="Times New Roman" w:hAnsi="Century Gothic" w:cs="Arial"/>
          <w:bCs/>
          <w:sz w:val="25"/>
          <w:szCs w:val="25"/>
          <w:lang w:eastAsia="es-MX"/>
        </w:rPr>
      </w:pPr>
      <w:r w:rsidRPr="00736F22">
        <w:rPr>
          <w:rFonts w:ascii="Century Gothic" w:eastAsia="Times New Roman" w:hAnsi="Century Gothic" w:cs="Arial"/>
          <w:bCs/>
          <w:sz w:val="25"/>
          <w:szCs w:val="25"/>
          <w:lang w:eastAsia="es-MX"/>
        </w:rPr>
        <w:lastRenderedPageBreak/>
        <w:t>Aprobado que sea, túrnese a la Secretaría para que elabore la minuta de Decreto en los términos que deba publicarse.</w:t>
      </w:r>
    </w:p>
    <w:p w14:paraId="67BDB7B1" w14:textId="7C7E0918" w:rsidR="009829A5" w:rsidRPr="00736F22" w:rsidRDefault="009829A5" w:rsidP="009829A5">
      <w:pPr>
        <w:spacing w:before="100" w:beforeAutospacing="1" w:after="100" w:afterAutospacing="1" w:line="360" w:lineRule="auto"/>
        <w:jc w:val="both"/>
        <w:rPr>
          <w:rFonts w:ascii="Century Gothic" w:eastAsia="Times New Roman" w:hAnsi="Century Gothic" w:cs="Arial"/>
          <w:sz w:val="25"/>
          <w:szCs w:val="25"/>
          <w:lang w:eastAsia="es-MX"/>
        </w:rPr>
      </w:pPr>
      <w:r w:rsidRPr="00736F22">
        <w:rPr>
          <w:rFonts w:ascii="Century Gothic" w:eastAsia="Times New Roman" w:hAnsi="Century Gothic" w:cs="Arial"/>
          <w:b/>
          <w:sz w:val="25"/>
          <w:szCs w:val="25"/>
          <w:lang w:eastAsia="es-MX"/>
        </w:rPr>
        <w:t>D A D O,</w:t>
      </w:r>
      <w:r w:rsidRPr="00736F22">
        <w:rPr>
          <w:rFonts w:ascii="Century Gothic" w:eastAsia="Times New Roman" w:hAnsi="Century Gothic" w:cs="Arial"/>
          <w:sz w:val="25"/>
          <w:szCs w:val="25"/>
          <w:lang w:eastAsia="es-MX"/>
        </w:rPr>
        <w:t xml:space="preserve"> en el salón de sesiones del Poder Legislativo, en la ciudad de Chihuahua, Chih., </w:t>
      </w:r>
      <w:r w:rsidR="00011524">
        <w:rPr>
          <w:rFonts w:ascii="Century Gothic" w:eastAsia="Times New Roman" w:hAnsi="Century Gothic" w:cs="Arial"/>
          <w:sz w:val="25"/>
          <w:szCs w:val="25"/>
          <w:lang w:eastAsia="es-MX"/>
        </w:rPr>
        <w:t>a los trece</w:t>
      </w:r>
      <w:r w:rsidR="001E38A1" w:rsidRPr="00736F22">
        <w:rPr>
          <w:rFonts w:ascii="Century Gothic" w:eastAsia="Times New Roman" w:hAnsi="Century Gothic" w:cs="Arial"/>
          <w:sz w:val="25"/>
          <w:szCs w:val="25"/>
          <w:lang w:eastAsia="es-MX"/>
        </w:rPr>
        <w:t xml:space="preserve"> días del mes de </w:t>
      </w:r>
      <w:r w:rsidR="008F0A56">
        <w:rPr>
          <w:rFonts w:ascii="Century Gothic" w:eastAsia="Times New Roman" w:hAnsi="Century Gothic" w:cs="Arial"/>
          <w:sz w:val="25"/>
          <w:szCs w:val="25"/>
          <w:lang w:eastAsia="es-MX"/>
        </w:rPr>
        <w:t>marzo</w:t>
      </w:r>
      <w:r w:rsidRPr="00736F22">
        <w:rPr>
          <w:rFonts w:ascii="Century Gothic" w:eastAsia="Times New Roman" w:hAnsi="Century Gothic" w:cs="Arial"/>
          <w:sz w:val="25"/>
          <w:szCs w:val="25"/>
          <w:lang w:eastAsia="es-MX"/>
        </w:rPr>
        <w:t xml:space="preserve"> de 2025.</w:t>
      </w:r>
    </w:p>
    <w:p w14:paraId="743CEE3E" w14:textId="77777777" w:rsidR="009829A5" w:rsidRPr="00736F22" w:rsidRDefault="009829A5" w:rsidP="009829A5">
      <w:pPr>
        <w:spacing w:before="100" w:beforeAutospacing="1" w:after="100" w:afterAutospacing="1" w:line="360" w:lineRule="auto"/>
        <w:jc w:val="center"/>
        <w:rPr>
          <w:rFonts w:ascii="Century Gothic" w:eastAsia="Times New Roman" w:hAnsi="Century Gothic" w:cs="Arial"/>
          <w:b/>
          <w:sz w:val="25"/>
          <w:szCs w:val="25"/>
          <w:lang w:eastAsia="es-MX"/>
        </w:rPr>
      </w:pPr>
      <w:r w:rsidRPr="00736F22">
        <w:rPr>
          <w:rFonts w:ascii="Century Gothic" w:eastAsia="Times New Roman" w:hAnsi="Century Gothic" w:cs="Arial"/>
          <w:b/>
          <w:sz w:val="25"/>
          <w:szCs w:val="25"/>
          <w:lang w:eastAsia="es-MX"/>
        </w:rPr>
        <w:t>A T E N T A M E N T E</w:t>
      </w:r>
    </w:p>
    <w:p w14:paraId="1EC06889" w14:textId="77777777" w:rsidR="00736F22" w:rsidRDefault="00736F22" w:rsidP="009829A5">
      <w:pPr>
        <w:spacing w:before="100" w:beforeAutospacing="1" w:after="100" w:afterAutospacing="1" w:line="360" w:lineRule="auto"/>
        <w:jc w:val="center"/>
        <w:rPr>
          <w:rFonts w:ascii="Century Gothic" w:eastAsia="Times New Roman" w:hAnsi="Century Gothic" w:cs="Arial"/>
          <w:b/>
          <w:sz w:val="25"/>
          <w:szCs w:val="25"/>
          <w:lang w:eastAsia="es-MX"/>
        </w:rPr>
      </w:pPr>
    </w:p>
    <w:p w14:paraId="4B8EDEFA" w14:textId="2145A278" w:rsidR="00736F22" w:rsidRPr="00736F22" w:rsidRDefault="00736F22" w:rsidP="00736F22">
      <w:pPr>
        <w:spacing w:before="100" w:beforeAutospacing="1" w:after="100" w:afterAutospacing="1" w:line="240" w:lineRule="auto"/>
        <w:jc w:val="center"/>
        <w:rPr>
          <w:rFonts w:ascii="Century Gothic" w:eastAsia="Times New Roman" w:hAnsi="Century Gothic" w:cs="Arial"/>
          <w:b/>
          <w:sz w:val="25"/>
          <w:szCs w:val="25"/>
          <w:lang w:eastAsia="es-MX"/>
        </w:rPr>
      </w:pPr>
      <w:r w:rsidRPr="00736F22">
        <w:rPr>
          <w:rFonts w:ascii="Century Gothic" w:eastAsia="Times New Roman" w:hAnsi="Century Gothic" w:cs="Arial"/>
          <w:b/>
          <w:sz w:val="25"/>
          <w:szCs w:val="25"/>
          <w:lang w:eastAsia="es-MX"/>
        </w:rPr>
        <w:t>_______________________________________</w:t>
      </w:r>
    </w:p>
    <w:p w14:paraId="1365AA56" w14:textId="7EF30189" w:rsidR="001225E2" w:rsidRPr="00736F22" w:rsidRDefault="00736F22" w:rsidP="00736F22">
      <w:pPr>
        <w:spacing w:before="100" w:beforeAutospacing="1" w:after="100" w:afterAutospacing="1" w:line="240" w:lineRule="auto"/>
        <w:jc w:val="center"/>
        <w:rPr>
          <w:rFonts w:ascii="Century Gothic" w:hAnsi="Century Gothic" w:cs="Arial"/>
          <w:b/>
          <w:sz w:val="25"/>
          <w:szCs w:val="25"/>
        </w:rPr>
      </w:pPr>
      <w:r w:rsidRPr="00736F22">
        <w:rPr>
          <w:rFonts w:ascii="Century Gothic" w:eastAsia="Times New Roman" w:hAnsi="Century Gothic" w:cs="Arial"/>
          <w:b/>
          <w:sz w:val="25"/>
          <w:szCs w:val="25"/>
          <w:lang w:eastAsia="es-MX"/>
        </w:rPr>
        <w:t>DIP. AMÉRICA VICTORIA AGUILAR GIL.</w:t>
      </w:r>
    </w:p>
    <w:sectPr w:rsidR="001225E2" w:rsidRPr="00736F22" w:rsidSect="00474FDD">
      <w:headerReference w:type="default" r:id="rId8"/>
      <w:footerReference w:type="default" r:id="rId9"/>
      <w:pgSz w:w="12240" w:h="15840"/>
      <w:pgMar w:top="3402" w:right="1701"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FE71F" w14:textId="77777777" w:rsidR="001712E7" w:rsidRDefault="001712E7" w:rsidP="007B4AED">
      <w:pPr>
        <w:spacing w:after="0" w:line="240" w:lineRule="auto"/>
      </w:pPr>
      <w:r>
        <w:separator/>
      </w:r>
    </w:p>
  </w:endnote>
  <w:endnote w:type="continuationSeparator" w:id="0">
    <w:p w14:paraId="0B470327" w14:textId="77777777" w:rsidR="001712E7" w:rsidRDefault="001712E7" w:rsidP="007B4AED">
      <w:pPr>
        <w:spacing w:after="0" w:line="240" w:lineRule="auto"/>
      </w:pPr>
      <w:r>
        <w:continuationSeparator/>
      </w:r>
    </w:p>
  </w:endnote>
  <w:endnote w:type="continuationNotice" w:id="1">
    <w:p w14:paraId="35E9DA96" w14:textId="77777777" w:rsidR="001712E7" w:rsidRDefault="001712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6F5A7" w14:textId="25A33E59" w:rsidR="007B4AED" w:rsidRDefault="00474FDD">
    <w:pPr>
      <w:pStyle w:val="Piedepgina"/>
    </w:pPr>
    <w:r>
      <w:rPr>
        <w:noProof/>
        <w:lang w:eastAsia="es-MX"/>
      </w:rPr>
      <w:drawing>
        <wp:anchor distT="0" distB="0" distL="114300" distR="114300" simplePos="0" relativeHeight="251661312" behindDoc="1" locked="0" layoutInCell="1" allowOverlap="1" wp14:anchorId="490F3CF7" wp14:editId="02F99EEB">
          <wp:simplePos x="0" y="0"/>
          <wp:positionH relativeFrom="column">
            <wp:posOffset>4358640</wp:posOffset>
          </wp:positionH>
          <wp:positionV relativeFrom="paragraph">
            <wp:posOffset>-386080</wp:posOffset>
          </wp:positionV>
          <wp:extent cx="2118360" cy="1059180"/>
          <wp:effectExtent l="0" t="0" r="0" b="7620"/>
          <wp:wrapNone/>
          <wp:docPr id="1834852969" name="Imagen 3" descr="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6375" name="Imagen 3" descr="Nombre de la empresa&#10;&#10;El contenido generado por IA puede ser incorrecto."/>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page">
            <wp14:pctWidth>0</wp14:pctWidth>
          </wp14:sizeRelH>
          <wp14:sizeRelV relativeFrom="page">
            <wp14:pctHeight>0</wp14:pctHeight>
          </wp14:sizeRelV>
        </wp:anchor>
      </w:drawing>
    </w:r>
  </w:p>
  <w:p w14:paraId="390318F2" w14:textId="3D880136" w:rsidR="007B4AED" w:rsidRDefault="007B4A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F5057" w14:textId="77777777" w:rsidR="001712E7" w:rsidRDefault="001712E7" w:rsidP="007B4AED">
      <w:pPr>
        <w:spacing w:after="0" w:line="240" w:lineRule="auto"/>
      </w:pPr>
      <w:r>
        <w:separator/>
      </w:r>
    </w:p>
  </w:footnote>
  <w:footnote w:type="continuationSeparator" w:id="0">
    <w:p w14:paraId="58BF7078" w14:textId="77777777" w:rsidR="001712E7" w:rsidRDefault="001712E7" w:rsidP="007B4AED">
      <w:pPr>
        <w:spacing w:after="0" w:line="240" w:lineRule="auto"/>
      </w:pPr>
      <w:r>
        <w:continuationSeparator/>
      </w:r>
    </w:p>
  </w:footnote>
  <w:footnote w:type="continuationNotice" w:id="1">
    <w:p w14:paraId="1F29CB43" w14:textId="77777777" w:rsidR="001712E7" w:rsidRDefault="001712E7">
      <w:pPr>
        <w:spacing w:after="0" w:line="240" w:lineRule="auto"/>
      </w:pPr>
    </w:p>
  </w:footnote>
  <w:footnote w:id="2">
    <w:p w14:paraId="1761F398" w14:textId="285D571C" w:rsidR="00C93934" w:rsidRDefault="00C93934">
      <w:pPr>
        <w:pStyle w:val="Textonotapie"/>
      </w:pPr>
      <w:r>
        <w:rPr>
          <w:rStyle w:val="Refdenotaalpie"/>
        </w:rPr>
        <w:footnoteRef/>
      </w:r>
      <w:r>
        <w:t xml:space="preserve"> </w:t>
      </w:r>
      <w:r w:rsidRPr="00C93934">
        <w:t>https://laverdadjuarez.com/2020/03/03/alcanza-acoso-sexual-a-6-de-cada-10-en-universidades-de-chihuahua/</w:t>
      </w:r>
    </w:p>
  </w:footnote>
  <w:footnote w:id="3">
    <w:p w14:paraId="21A78A13" w14:textId="391CD8A3" w:rsidR="00352F4B" w:rsidRPr="00352F4B" w:rsidRDefault="00352F4B" w:rsidP="00352F4B">
      <w:pPr>
        <w:pStyle w:val="Textonotapie"/>
        <w:jc w:val="both"/>
        <w:rPr>
          <w:rFonts w:ascii="Arial" w:hAnsi="Arial" w:cs="Arial"/>
          <w:sz w:val="16"/>
          <w:szCs w:val="16"/>
        </w:rPr>
      </w:pPr>
      <w:r w:rsidRPr="00352F4B">
        <w:rPr>
          <w:rStyle w:val="Refdenotaalpie"/>
          <w:rFonts w:ascii="Arial" w:hAnsi="Arial" w:cs="Arial"/>
          <w:sz w:val="16"/>
          <w:szCs w:val="16"/>
        </w:rPr>
        <w:footnoteRef/>
      </w:r>
      <w:r w:rsidRPr="00352F4B">
        <w:rPr>
          <w:rFonts w:ascii="Arial" w:hAnsi="Arial" w:cs="Arial"/>
          <w:sz w:val="16"/>
          <w:szCs w:val="16"/>
        </w:rPr>
        <w:t xml:space="preserve"> Relata en el estudio “Estudiantes ante el hostigamiento y acoso sexual: percepciones desde el entorno universitario” (2024).</w:t>
      </w:r>
    </w:p>
  </w:footnote>
  <w:footnote w:id="4">
    <w:p w14:paraId="4C220746" w14:textId="57312B81" w:rsidR="00CB5FF9" w:rsidRPr="00CB5FF9" w:rsidRDefault="00CB5FF9">
      <w:pPr>
        <w:pStyle w:val="Textonotapie"/>
        <w:rPr>
          <w:rFonts w:ascii="Arial" w:hAnsi="Arial" w:cs="Arial"/>
        </w:rPr>
      </w:pPr>
      <w:r w:rsidRPr="00CB5FF9">
        <w:rPr>
          <w:rStyle w:val="Refdenotaalpie"/>
          <w:rFonts w:ascii="Arial" w:hAnsi="Arial" w:cs="Arial"/>
          <w:sz w:val="16"/>
          <w:szCs w:val="16"/>
        </w:rPr>
        <w:footnoteRef/>
      </w:r>
      <w:r w:rsidRPr="00CB5FF9">
        <w:rPr>
          <w:rFonts w:ascii="Arial" w:hAnsi="Arial" w:cs="Arial"/>
          <w:sz w:val="16"/>
          <w:szCs w:val="16"/>
        </w:rPr>
        <w:t xml:space="preserve"> Las Universidades frente a la violencia de género, alcance limitado de los mecanismos formales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FD3F0" w14:textId="23AD2478" w:rsidR="00736F22" w:rsidRDefault="00000000">
    <w:pPr>
      <w:pStyle w:val="Encabezado"/>
    </w:pPr>
    <w:sdt>
      <w:sdtPr>
        <w:id w:val="-2001113143"/>
        <w:docPartObj>
          <w:docPartGallery w:val="Page Numbers (Margins)"/>
          <w:docPartUnique/>
        </w:docPartObj>
      </w:sdtPr>
      <w:sdtContent>
        <w:r w:rsidR="00474FDD">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3360" behindDoc="0" locked="0" layoutInCell="0" allowOverlap="1" wp14:anchorId="11A4EF93" wp14:editId="090D641E">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551064594"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wps:spPr>
                        <wps:txbx>
                          <w:txbxContent>
                            <w:p w14:paraId="7F8798AA" w14:textId="69C8D6B0" w:rsidR="00474FDD" w:rsidRDefault="00474FDD" w:rsidP="00474FDD">
                              <w:pPr>
                                <w:jc w:val="center"/>
                                <w:rPr>
                                  <w:rStyle w:val="Nmerodepgina"/>
                                  <w:color w:val="FFFFFF" w:themeColor="background1"/>
                                  <w:szCs w:val="24"/>
                                </w:rPr>
                              </w:pPr>
                              <w:r>
                                <w:fldChar w:fldCharType="begin"/>
                              </w:r>
                              <w:r>
                                <w:instrText>PAGE    \* MERGEFORMAT</w:instrText>
                              </w:r>
                              <w:r>
                                <w:fldChar w:fldCharType="separate"/>
                              </w:r>
                              <w:r w:rsidR="00E06410" w:rsidRPr="00E06410">
                                <w:rPr>
                                  <w:rStyle w:val="Nmerodepgina"/>
                                  <w:b/>
                                  <w:bCs/>
                                  <w:noProof/>
                                  <w:color w:val="FFFFFF" w:themeColor="background1"/>
                                  <w:sz w:val="24"/>
                                  <w:szCs w:val="24"/>
                                  <w:lang w:val="es-ES"/>
                                </w:rPr>
                                <w:t>9</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4EF93" id="Elipse 1" o:spid="_x0000_s1026"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QU/gEAAOUDAAAOAAAAZHJzL2Uyb0RvYy54bWysU9uO0zAQfUfiHyy/06RVu4Wo6WrVZRHS&#10;AistfIDjOImF4zFjt0n5esZO2y3whsiDNdfjc8aTze3YG3ZQ6DXYks9nOWfKSqi1bUv+7evDm7ec&#10;+SBsLQxYVfKj8vx2+/rVZnCFWkAHplbICMT6YnAl70JwRZZ52ale+Bk4ZSnZAPYikIttVqMYCL03&#10;2SLPb7IBsHYIUnlP0fspybcJv2mUDF+axqvATMmJW0gnprOKZ7bdiKJF4TotTzTEP7DohbZ06QXq&#10;XgTB9qj/guq1RPDQhJmEPoOm0VIlDaRmnv+h5rkTTiUtNBzvLmPy/w9Wfj48IdN1yVereX6zXL1b&#10;cmZFT0/13mjnFZvHGQ3OF1T67J4wqvTuEeR3zyzsOmFbdYcIQ6dETcxSffZbQ3Q8tbJq+AQ1QYt9&#10;gDSuscE+AtIg2Jhe5Xh5FTUGJim4XK9XC3o7SamTTYwyUZybHfrwQUHPolFyZRLxhC8Ojz5M1eeq&#10;xB+Mrh+0McnBttoZZAdBO7LL4xcl0wX+uszYWGwhtk3pGElCo7ZpRmGsRkpGwRXUR5KMMO0c/SNk&#10;dIA/ORto30ruf+wFKs7MR0tji8uZjOVqHdXiOVpdR4WVBFHywNlk7sK0zHuHuu3ohnnSbeGORtzo&#10;pP2FzYkv7VLSd9r7uKzXfqp6+Tu3vwAAAP//AwBQSwMEFAAGAAgAAAAhAGS8srfcAAAAAwEAAA8A&#10;AABkcnMvZG93bnJldi54bWxMj0FLw0AQhe9C/8Mygje7sVgtMZsiiqBUKk0Lxds0O01Cs7Mxu223&#10;/97VHvQyj+EN732TTYNpxYF611hWcDNMQBCXVjdcKVgtX64nIJxH1thaJgUncjDNBxcZptoeeUGH&#10;wlcihrBLUUHtfZdK6cqaDLqh7Yijt7W9QR/XvpK6x2MMN60cJcmdNNhwbKixo6eayl2xNwrCtgif&#10;4/evt1mz+pi9zhfPt9V6qdTVZXh8AOEp+L9j+MGP6JBHpo3ds3aiVRAf8b8zevfjEYjNWWWeyf/s&#10;+TcAAAD//wMAUEsBAi0AFAAGAAgAAAAhALaDOJL+AAAA4QEAABMAAAAAAAAAAAAAAAAAAAAAAFtD&#10;b250ZW50X1R5cGVzXS54bWxQSwECLQAUAAYACAAAACEAOP0h/9YAAACUAQAACwAAAAAAAAAAAAAA&#10;AAAvAQAAX3JlbHMvLnJlbHNQSwECLQAUAAYACAAAACEARTzkFP4BAADlAwAADgAAAAAAAAAAAAAA&#10;AAAuAgAAZHJzL2Uyb0RvYy54bWxQSwECLQAUAAYACAAAACEAZLyyt9wAAAADAQAADwAAAAAAAAAA&#10;AAAAAABYBAAAZHJzL2Rvd25yZXYueG1sUEsFBgAAAAAEAAQA8wAAAGEFAAAAAA==&#10;" o:allowincell="f" fillcolor="#c00000" stroked="f">
                  <v:textbox inset="0,,0">
                    <w:txbxContent>
                      <w:p w14:paraId="7F8798AA" w14:textId="69C8D6B0" w:rsidR="00474FDD" w:rsidRDefault="00474FDD" w:rsidP="00474FDD">
                        <w:pPr>
                          <w:jc w:val="center"/>
                          <w:rPr>
                            <w:rStyle w:val="Nmerodepgina"/>
                            <w:color w:val="FFFFFF" w:themeColor="background1"/>
                            <w:szCs w:val="24"/>
                          </w:rPr>
                        </w:pPr>
                        <w:r>
                          <w:fldChar w:fldCharType="begin"/>
                        </w:r>
                        <w:r>
                          <w:instrText>PAGE    \* MERGEFORMAT</w:instrText>
                        </w:r>
                        <w:r>
                          <w:fldChar w:fldCharType="separate"/>
                        </w:r>
                        <w:r w:rsidR="00E06410" w:rsidRPr="00E06410">
                          <w:rPr>
                            <w:rStyle w:val="Nmerodepgina"/>
                            <w:b/>
                            <w:bCs/>
                            <w:noProof/>
                            <w:color w:val="FFFFFF" w:themeColor="background1"/>
                            <w:sz w:val="24"/>
                            <w:szCs w:val="24"/>
                            <w:lang w:val="es-ES"/>
                          </w:rPr>
                          <w:t>9</w:t>
                        </w:r>
                        <w:r>
                          <w:rPr>
                            <w:rStyle w:val="Nmerodepgina"/>
                            <w:b/>
                            <w:bCs/>
                            <w:color w:val="FFFFFF" w:themeColor="background1"/>
                            <w:sz w:val="24"/>
                            <w:szCs w:val="24"/>
                          </w:rPr>
                          <w:fldChar w:fldCharType="end"/>
                        </w:r>
                      </w:p>
                    </w:txbxContent>
                  </v:textbox>
                  <w10:wrap anchorx="margin" anchory="page"/>
                </v:oval>
              </w:pict>
            </mc:Fallback>
          </mc:AlternateContent>
        </w:r>
      </w:sdtContent>
    </w:sdt>
    <w:r w:rsidR="00C766A2">
      <w:rPr>
        <w:noProof/>
        <w:lang w:eastAsia="es-MX"/>
      </w:rPr>
      <w:drawing>
        <wp:anchor distT="0" distB="0" distL="114300" distR="114300" simplePos="0" relativeHeight="251659264" behindDoc="1" locked="0" layoutInCell="1" allowOverlap="1" wp14:anchorId="72A820F6" wp14:editId="59D506B0">
          <wp:simplePos x="0" y="0"/>
          <wp:positionH relativeFrom="page">
            <wp:align>right</wp:align>
          </wp:positionH>
          <wp:positionV relativeFrom="paragraph">
            <wp:posOffset>-450215</wp:posOffset>
          </wp:positionV>
          <wp:extent cx="7772400" cy="10058400"/>
          <wp:effectExtent l="0" t="0" r="0" b="0"/>
          <wp:wrapNone/>
          <wp:docPr id="1182961668" name="Imagen 1182961668"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92484" name="Imagen 1790792484"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40AD0"/>
    <w:multiLevelType w:val="multilevel"/>
    <w:tmpl w:val="10CE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376ECA"/>
    <w:multiLevelType w:val="hybridMultilevel"/>
    <w:tmpl w:val="20BC36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0DA3DD9"/>
    <w:multiLevelType w:val="multilevel"/>
    <w:tmpl w:val="F2929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2F4FB5"/>
    <w:multiLevelType w:val="hybridMultilevel"/>
    <w:tmpl w:val="0D3C02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3E03E0"/>
    <w:multiLevelType w:val="hybridMultilevel"/>
    <w:tmpl w:val="C6CE89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7A24D5"/>
    <w:multiLevelType w:val="multilevel"/>
    <w:tmpl w:val="8188C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1970348">
    <w:abstractNumId w:val="2"/>
  </w:num>
  <w:num w:numId="2" w16cid:durableId="181550984">
    <w:abstractNumId w:val="1"/>
  </w:num>
  <w:num w:numId="3" w16cid:durableId="447168910">
    <w:abstractNumId w:val="0"/>
  </w:num>
  <w:num w:numId="4" w16cid:durableId="609123223">
    <w:abstractNumId w:val="5"/>
  </w:num>
  <w:num w:numId="5" w16cid:durableId="1274242523">
    <w:abstractNumId w:val="3"/>
  </w:num>
  <w:num w:numId="6" w16cid:durableId="6708390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4FD"/>
    <w:rsid w:val="000063D0"/>
    <w:rsid w:val="00011524"/>
    <w:rsid w:val="000255E6"/>
    <w:rsid w:val="00030F51"/>
    <w:rsid w:val="00034AA5"/>
    <w:rsid w:val="00040EA2"/>
    <w:rsid w:val="0004119A"/>
    <w:rsid w:val="00046A8B"/>
    <w:rsid w:val="00085A27"/>
    <w:rsid w:val="00087F30"/>
    <w:rsid w:val="00097E07"/>
    <w:rsid w:val="000B1526"/>
    <w:rsid w:val="000B2DA9"/>
    <w:rsid w:val="000B7485"/>
    <w:rsid w:val="000C6D67"/>
    <w:rsid w:val="000E384E"/>
    <w:rsid w:val="000F0FB6"/>
    <w:rsid w:val="000F77F0"/>
    <w:rsid w:val="0012127A"/>
    <w:rsid w:val="001225E2"/>
    <w:rsid w:val="001260A3"/>
    <w:rsid w:val="0013076B"/>
    <w:rsid w:val="00134E22"/>
    <w:rsid w:val="001712E7"/>
    <w:rsid w:val="00174B48"/>
    <w:rsid w:val="0018175E"/>
    <w:rsid w:val="00181F65"/>
    <w:rsid w:val="001922BF"/>
    <w:rsid w:val="001A0366"/>
    <w:rsid w:val="001A3B36"/>
    <w:rsid w:val="001B247E"/>
    <w:rsid w:val="001B4975"/>
    <w:rsid w:val="001C2D13"/>
    <w:rsid w:val="001C77A6"/>
    <w:rsid w:val="001D4847"/>
    <w:rsid w:val="001E38A1"/>
    <w:rsid w:val="001E622E"/>
    <w:rsid w:val="001E6373"/>
    <w:rsid w:val="00224AE5"/>
    <w:rsid w:val="002265B3"/>
    <w:rsid w:val="00227A4A"/>
    <w:rsid w:val="00233D02"/>
    <w:rsid w:val="0023603C"/>
    <w:rsid w:val="002454FD"/>
    <w:rsid w:val="00253177"/>
    <w:rsid w:val="00261BAC"/>
    <w:rsid w:val="00285D88"/>
    <w:rsid w:val="002C060B"/>
    <w:rsid w:val="002C74E7"/>
    <w:rsid w:val="002D5C34"/>
    <w:rsid w:val="002E6E81"/>
    <w:rsid w:val="00303685"/>
    <w:rsid w:val="003051F1"/>
    <w:rsid w:val="00333B72"/>
    <w:rsid w:val="00334497"/>
    <w:rsid w:val="003400E8"/>
    <w:rsid w:val="00346551"/>
    <w:rsid w:val="00352F4B"/>
    <w:rsid w:val="00375A58"/>
    <w:rsid w:val="003D4B8C"/>
    <w:rsid w:val="003E5523"/>
    <w:rsid w:val="00411DA0"/>
    <w:rsid w:val="0043612A"/>
    <w:rsid w:val="00436DEF"/>
    <w:rsid w:val="00442E01"/>
    <w:rsid w:val="00443804"/>
    <w:rsid w:val="00471B47"/>
    <w:rsid w:val="00473D24"/>
    <w:rsid w:val="00474FDD"/>
    <w:rsid w:val="004A5E93"/>
    <w:rsid w:val="004B1AAD"/>
    <w:rsid w:val="004B357C"/>
    <w:rsid w:val="004C21BF"/>
    <w:rsid w:val="004C76D9"/>
    <w:rsid w:val="004D4839"/>
    <w:rsid w:val="00502913"/>
    <w:rsid w:val="0050381B"/>
    <w:rsid w:val="005128B4"/>
    <w:rsid w:val="00522BB4"/>
    <w:rsid w:val="00535527"/>
    <w:rsid w:val="00553A08"/>
    <w:rsid w:val="00554140"/>
    <w:rsid w:val="005609E4"/>
    <w:rsid w:val="00571ADA"/>
    <w:rsid w:val="00573477"/>
    <w:rsid w:val="0058064D"/>
    <w:rsid w:val="00594637"/>
    <w:rsid w:val="005B2F85"/>
    <w:rsid w:val="005C0C29"/>
    <w:rsid w:val="005F25A7"/>
    <w:rsid w:val="00604DEA"/>
    <w:rsid w:val="00611A98"/>
    <w:rsid w:val="00615292"/>
    <w:rsid w:val="00617E22"/>
    <w:rsid w:val="006205A6"/>
    <w:rsid w:val="006302CE"/>
    <w:rsid w:val="00632B1E"/>
    <w:rsid w:val="0064087A"/>
    <w:rsid w:val="00646857"/>
    <w:rsid w:val="006528BD"/>
    <w:rsid w:val="00654974"/>
    <w:rsid w:val="006676B5"/>
    <w:rsid w:val="00691B3A"/>
    <w:rsid w:val="00692395"/>
    <w:rsid w:val="006A6B8A"/>
    <w:rsid w:val="006B15A8"/>
    <w:rsid w:val="006C11CA"/>
    <w:rsid w:val="006D617F"/>
    <w:rsid w:val="006F1BB4"/>
    <w:rsid w:val="0071192E"/>
    <w:rsid w:val="007203E1"/>
    <w:rsid w:val="00735125"/>
    <w:rsid w:val="00736F22"/>
    <w:rsid w:val="007766BF"/>
    <w:rsid w:val="00797299"/>
    <w:rsid w:val="007B1706"/>
    <w:rsid w:val="007B4AED"/>
    <w:rsid w:val="007B63E7"/>
    <w:rsid w:val="007C0F6C"/>
    <w:rsid w:val="007C6F9A"/>
    <w:rsid w:val="007D247D"/>
    <w:rsid w:val="007D4868"/>
    <w:rsid w:val="00802C30"/>
    <w:rsid w:val="00820E75"/>
    <w:rsid w:val="008251E7"/>
    <w:rsid w:val="00831BAE"/>
    <w:rsid w:val="00832460"/>
    <w:rsid w:val="00862944"/>
    <w:rsid w:val="0087062F"/>
    <w:rsid w:val="00872DF7"/>
    <w:rsid w:val="00873E7A"/>
    <w:rsid w:val="00891436"/>
    <w:rsid w:val="008B0887"/>
    <w:rsid w:val="008B4B1A"/>
    <w:rsid w:val="008E2D4E"/>
    <w:rsid w:val="008F0A56"/>
    <w:rsid w:val="009076F6"/>
    <w:rsid w:val="0091707E"/>
    <w:rsid w:val="00924256"/>
    <w:rsid w:val="009628B1"/>
    <w:rsid w:val="0097009D"/>
    <w:rsid w:val="00976616"/>
    <w:rsid w:val="009829A5"/>
    <w:rsid w:val="0098798C"/>
    <w:rsid w:val="00993074"/>
    <w:rsid w:val="009943E3"/>
    <w:rsid w:val="009A1BC1"/>
    <w:rsid w:val="009B21B4"/>
    <w:rsid w:val="009C65E8"/>
    <w:rsid w:val="009D35E9"/>
    <w:rsid w:val="009D7643"/>
    <w:rsid w:val="009D7F16"/>
    <w:rsid w:val="009E5621"/>
    <w:rsid w:val="009F03C6"/>
    <w:rsid w:val="00A10BB1"/>
    <w:rsid w:val="00A12E85"/>
    <w:rsid w:val="00A25ACA"/>
    <w:rsid w:val="00A428A8"/>
    <w:rsid w:val="00A43E95"/>
    <w:rsid w:val="00A52D54"/>
    <w:rsid w:val="00A71BC4"/>
    <w:rsid w:val="00A72ACF"/>
    <w:rsid w:val="00A734BC"/>
    <w:rsid w:val="00AB094E"/>
    <w:rsid w:val="00AB2774"/>
    <w:rsid w:val="00AD2104"/>
    <w:rsid w:val="00AD7FC6"/>
    <w:rsid w:val="00AE3640"/>
    <w:rsid w:val="00AE46DA"/>
    <w:rsid w:val="00B22FB6"/>
    <w:rsid w:val="00B40787"/>
    <w:rsid w:val="00B409E9"/>
    <w:rsid w:val="00B50301"/>
    <w:rsid w:val="00B61FA4"/>
    <w:rsid w:val="00B76B74"/>
    <w:rsid w:val="00B87529"/>
    <w:rsid w:val="00B9637D"/>
    <w:rsid w:val="00BA5C23"/>
    <w:rsid w:val="00BB55C7"/>
    <w:rsid w:val="00BD55A7"/>
    <w:rsid w:val="00C04F92"/>
    <w:rsid w:val="00C103E1"/>
    <w:rsid w:val="00C24D36"/>
    <w:rsid w:val="00C34254"/>
    <w:rsid w:val="00C43CF5"/>
    <w:rsid w:val="00C47ECB"/>
    <w:rsid w:val="00C64BFD"/>
    <w:rsid w:val="00C766A2"/>
    <w:rsid w:val="00C9125F"/>
    <w:rsid w:val="00C92E1B"/>
    <w:rsid w:val="00C93934"/>
    <w:rsid w:val="00CA271B"/>
    <w:rsid w:val="00CA7793"/>
    <w:rsid w:val="00CB53CB"/>
    <w:rsid w:val="00CB5849"/>
    <w:rsid w:val="00CB5FF9"/>
    <w:rsid w:val="00CD3971"/>
    <w:rsid w:val="00CE6658"/>
    <w:rsid w:val="00D1509E"/>
    <w:rsid w:val="00D30D8A"/>
    <w:rsid w:val="00D3329C"/>
    <w:rsid w:val="00D34CBF"/>
    <w:rsid w:val="00D577A4"/>
    <w:rsid w:val="00D7309B"/>
    <w:rsid w:val="00D96510"/>
    <w:rsid w:val="00DA1492"/>
    <w:rsid w:val="00DB792C"/>
    <w:rsid w:val="00DD09EF"/>
    <w:rsid w:val="00DD72F4"/>
    <w:rsid w:val="00DE5F73"/>
    <w:rsid w:val="00DF2343"/>
    <w:rsid w:val="00DF4D00"/>
    <w:rsid w:val="00E0330F"/>
    <w:rsid w:val="00E06410"/>
    <w:rsid w:val="00E102D0"/>
    <w:rsid w:val="00E17244"/>
    <w:rsid w:val="00E20EB9"/>
    <w:rsid w:val="00E306A1"/>
    <w:rsid w:val="00E41140"/>
    <w:rsid w:val="00E53858"/>
    <w:rsid w:val="00E5465A"/>
    <w:rsid w:val="00E55456"/>
    <w:rsid w:val="00E74187"/>
    <w:rsid w:val="00E74A84"/>
    <w:rsid w:val="00E837D3"/>
    <w:rsid w:val="00E83D27"/>
    <w:rsid w:val="00E95328"/>
    <w:rsid w:val="00EA4CDA"/>
    <w:rsid w:val="00EA6701"/>
    <w:rsid w:val="00EE08F2"/>
    <w:rsid w:val="00EE75E6"/>
    <w:rsid w:val="00EF04F6"/>
    <w:rsid w:val="00EF6EE3"/>
    <w:rsid w:val="00F047BB"/>
    <w:rsid w:val="00F224ED"/>
    <w:rsid w:val="00F32471"/>
    <w:rsid w:val="00F32CD4"/>
    <w:rsid w:val="00F33FE4"/>
    <w:rsid w:val="00F37BE1"/>
    <w:rsid w:val="00F51186"/>
    <w:rsid w:val="00F63729"/>
    <w:rsid w:val="00F76B58"/>
    <w:rsid w:val="00F951E3"/>
    <w:rsid w:val="00FA506A"/>
    <w:rsid w:val="00FA6D7B"/>
    <w:rsid w:val="00FA774D"/>
    <w:rsid w:val="00FA7C81"/>
    <w:rsid w:val="00FB7CEB"/>
    <w:rsid w:val="00FD4CBF"/>
    <w:rsid w:val="00FE35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D6690"/>
  <w15:chartTrackingRefBased/>
  <w15:docId w15:val="{677E87D4-745A-4E14-84AD-CE8B43CB6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B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170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91707E"/>
    <w:rPr>
      <w:b/>
      <w:bCs/>
    </w:rPr>
  </w:style>
  <w:style w:type="paragraph" w:styleId="Textodeglobo">
    <w:name w:val="Balloon Text"/>
    <w:basedOn w:val="Normal"/>
    <w:link w:val="TextodegloboCar"/>
    <w:uiPriority w:val="99"/>
    <w:semiHidden/>
    <w:unhideWhenUsed/>
    <w:rsid w:val="003344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4497"/>
    <w:rPr>
      <w:rFonts w:ascii="Segoe UI" w:hAnsi="Segoe UI" w:cs="Segoe UI"/>
      <w:sz w:val="18"/>
      <w:szCs w:val="18"/>
    </w:rPr>
  </w:style>
  <w:style w:type="paragraph" w:styleId="Prrafodelista">
    <w:name w:val="List Paragraph"/>
    <w:basedOn w:val="Normal"/>
    <w:uiPriority w:val="34"/>
    <w:qFormat/>
    <w:rsid w:val="002C74E7"/>
    <w:pPr>
      <w:ind w:left="720"/>
      <w:contextualSpacing/>
    </w:pPr>
  </w:style>
  <w:style w:type="paragraph" w:styleId="Encabezado">
    <w:name w:val="header"/>
    <w:basedOn w:val="Normal"/>
    <w:link w:val="EncabezadoCar"/>
    <w:uiPriority w:val="99"/>
    <w:unhideWhenUsed/>
    <w:rsid w:val="007B4A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B4AED"/>
  </w:style>
  <w:style w:type="paragraph" w:styleId="Piedepgina">
    <w:name w:val="footer"/>
    <w:basedOn w:val="Normal"/>
    <w:link w:val="PiedepginaCar"/>
    <w:uiPriority w:val="99"/>
    <w:unhideWhenUsed/>
    <w:rsid w:val="007B4A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B4AED"/>
  </w:style>
  <w:style w:type="paragraph" w:styleId="Textonotapie">
    <w:name w:val="footnote text"/>
    <w:basedOn w:val="Normal"/>
    <w:link w:val="TextonotapieCar"/>
    <w:uiPriority w:val="99"/>
    <w:semiHidden/>
    <w:unhideWhenUsed/>
    <w:rsid w:val="0050291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2913"/>
    <w:rPr>
      <w:sz w:val="20"/>
      <w:szCs w:val="20"/>
    </w:rPr>
  </w:style>
  <w:style w:type="character" w:styleId="Refdenotaalpie">
    <w:name w:val="footnote reference"/>
    <w:basedOn w:val="Fuentedeprrafopredeter"/>
    <w:uiPriority w:val="99"/>
    <w:semiHidden/>
    <w:unhideWhenUsed/>
    <w:rsid w:val="00502913"/>
    <w:rPr>
      <w:vertAlign w:val="superscript"/>
    </w:rPr>
  </w:style>
  <w:style w:type="character" w:styleId="Refdecomentario">
    <w:name w:val="annotation reference"/>
    <w:basedOn w:val="Fuentedeprrafopredeter"/>
    <w:uiPriority w:val="99"/>
    <w:semiHidden/>
    <w:unhideWhenUsed/>
    <w:rsid w:val="00AD7FC6"/>
    <w:rPr>
      <w:sz w:val="16"/>
      <w:szCs w:val="16"/>
    </w:rPr>
  </w:style>
  <w:style w:type="paragraph" w:styleId="Textocomentario">
    <w:name w:val="annotation text"/>
    <w:basedOn w:val="Normal"/>
    <w:link w:val="TextocomentarioCar"/>
    <w:uiPriority w:val="99"/>
    <w:unhideWhenUsed/>
    <w:rsid w:val="00AD7FC6"/>
    <w:pPr>
      <w:spacing w:line="240" w:lineRule="auto"/>
    </w:pPr>
    <w:rPr>
      <w:sz w:val="20"/>
      <w:szCs w:val="20"/>
    </w:rPr>
  </w:style>
  <w:style w:type="character" w:customStyle="1" w:styleId="TextocomentarioCar">
    <w:name w:val="Texto comentario Car"/>
    <w:basedOn w:val="Fuentedeprrafopredeter"/>
    <w:link w:val="Textocomentario"/>
    <w:uiPriority w:val="99"/>
    <w:rsid w:val="00AD7FC6"/>
    <w:rPr>
      <w:sz w:val="20"/>
      <w:szCs w:val="20"/>
    </w:rPr>
  </w:style>
  <w:style w:type="paragraph" w:styleId="Asuntodelcomentario">
    <w:name w:val="annotation subject"/>
    <w:basedOn w:val="Textocomentario"/>
    <w:next w:val="Textocomentario"/>
    <w:link w:val="AsuntodelcomentarioCar"/>
    <w:uiPriority w:val="99"/>
    <w:semiHidden/>
    <w:unhideWhenUsed/>
    <w:rsid w:val="00AD7FC6"/>
    <w:rPr>
      <w:b/>
      <w:bCs/>
    </w:rPr>
  </w:style>
  <w:style w:type="character" w:customStyle="1" w:styleId="AsuntodelcomentarioCar">
    <w:name w:val="Asunto del comentario Car"/>
    <w:basedOn w:val="TextocomentarioCar"/>
    <w:link w:val="Asuntodelcomentario"/>
    <w:uiPriority w:val="99"/>
    <w:semiHidden/>
    <w:rsid w:val="00AD7FC6"/>
    <w:rPr>
      <w:b/>
      <w:bCs/>
      <w:sz w:val="20"/>
      <w:szCs w:val="20"/>
    </w:rPr>
  </w:style>
  <w:style w:type="character" w:styleId="Nmerodepgina">
    <w:name w:val="page number"/>
    <w:basedOn w:val="Fuentedeprrafopredeter"/>
    <w:uiPriority w:val="99"/>
    <w:unhideWhenUsed/>
    <w:rsid w:val="00474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528178">
      <w:bodyDiv w:val="1"/>
      <w:marLeft w:val="0"/>
      <w:marRight w:val="0"/>
      <w:marTop w:val="0"/>
      <w:marBottom w:val="0"/>
      <w:divBdr>
        <w:top w:val="none" w:sz="0" w:space="0" w:color="auto"/>
        <w:left w:val="none" w:sz="0" w:space="0" w:color="auto"/>
        <w:bottom w:val="none" w:sz="0" w:space="0" w:color="auto"/>
        <w:right w:val="none" w:sz="0" w:space="0" w:color="auto"/>
      </w:divBdr>
      <w:divsChild>
        <w:div w:id="1838183589">
          <w:marLeft w:val="0"/>
          <w:marRight w:val="0"/>
          <w:marTop w:val="0"/>
          <w:marBottom w:val="0"/>
          <w:divBdr>
            <w:top w:val="none" w:sz="0" w:space="0" w:color="auto"/>
            <w:left w:val="none" w:sz="0" w:space="0" w:color="auto"/>
            <w:bottom w:val="none" w:sz="0" w:space="0" w:color="auto"/>
            <w:right w:val="none" w:sz="0" w:space="0" w:color="auto"/>
          </w:divBdr>
          <w:divsChild>
            <w:div w:id="1629776179">
              <w:marLeft w:val="0"/>
              <w:marRight w:val="0"/>
              <w:marTop w:val="0"/>
              <w:marBottom w:val="0"/>
              <w:divBdr>
                <w:top w:val="none" w:sz="0" w:space="0" w:color="auto"/>
                <w:left w:val="none" w:sz="0" w:space="0" w:color="auto"/>
                <w:bottom w:val="none" w:sz="0" w:space="0" w:color="auto"/>
                <w:right w:val="none" w:sz="0" w:space="0" w:color="auto"/>
              </w:divBdr>
              <w:divsChild>
                <w:div w:id="1816215315">
                  <w:marLeft w:val="0"/>
                  <w:marRight w:val="0"/>
                  <w:marTop w:val="0"/>
                  <w:marBottom w:val="0"/>
                  <w:divBdr>
                    <w:top w:val="none" w:sz="0" w:space="0" w:color="auto"/>
                    <w:left w:val="none" w:sz="0" w:space="0" w:color="auto"/>
                    <w:bottom w:val="none" w:sz="0" w:space="0" w:color="auto"/>
                    <w:right w:val="none" w:sz="0" w:space="0" w:color="auto"/>
                  </w:divBdr>
                  <w:divsChild>
                    <w:div w:id="2041590377">
                      <w:marLeft w:val="0"/>
                      <w:marRight w:val="0"/>
                      <w:marTop w:val="0"/>
                      <w:marBottom w:val="0"/>
                      <w:divBdr>
                        <w:top w:val="none" w:sz="0" w:space="0" w:color="auto"/>
                        <w:left w:val="none" w:sz="0" w:space="0" w:color="auto"/>
                        <w:bottom w:val="none" w:sz="0" w:space="0" w:color="auto"/>
                        <w:right w:val="none" w:sz="0" w:space="0" w:color="auto"/>
                      </w:divBdr>
                      <w:divsChild>
                        <w:div w:id="612714227">
                          <w:marLeft w:val="0"/>
                          <w:marRight w:val="0"/>
                          <w:marTop w:val="0"/>
                          <w:marBottom w:val="0"/>
                          <w:divBdr>
                            <w:top w:val="none" w:sz="0" w:space="0" w:color="auto"/>
                            <w:left w:val="none" w:sz="0" w:space="0" w:color="auto"/>
                            <w:bottom w:val="none" w:sz="0" w:space="0" w:color="auto"/>
                            <w:right w:val="none" w:sz="0" w:space="0" w:color="auto"/>
                          </w:divBdr>
                          <w:divsChild>
                            <w:div w:id="19269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459966">
      <w:bodyDiv w:val="1"/>
      <w:marLeft w:val="0"/>
      <w:marRight w:val="0"/>
      <w:marTop w:val="0"/>
      <w:marBottom w:val="0"/>
      <w:divBdr>
        <w:top w:val="none" w:sz="0" w:space="0" w:color="auto"/>
        <w:left w:val="none" w:sz="0" w:space="0" w:color="auto"/>
        <w:bottom w:val="none" w:sz="0" w:space="0" w:color="auto"/>
        <w:right w:val="none" w:sz="0" w:space="0" w:color="auto"/>
      </w:divBdr>
    </w:div>
    <w:div w:id="303242742">
      <w:bodyDiv w:val="1"/>
      <w:marLeft w:val="0"/>
      <w:marRight w:val="0"/>
      <w:marTop w:val="0"/>
      <w:marBottom w:val="0"/>
      <w:divBdr>
        <w:top w:val="none" w:sz="0" w:space="0" w:color="auto"/>
        <w:left w:val="none" w:sz="0" w:space="0" w:color="auto"/>
        <w:bottom w:val="none" w:sz="0" w:space="0" w:color="auto"/>
        <w:right w:val="none" w:sz="0" w:space="0" w:color="auto"/>
      </w:divBdr>
    </w:div>
    <w:div w:id="352194202">
      <w:bodyDiv w:val="1"/>
      <w:marLeft w:val="0"/>
      <w:marRight w:val="0"/>
      <w:marTop w:val="0"/>
      <w:marBottom w:val="0"/>
      <w:divBdr>
        <w:top w:val="none" w:sz="0" w:space="0" w:color="auto"/>
        <w:left w:val="none" w:sz="0" w:space="0" w:color="auto"/>
        <w:bottom w:val="none" w:sz="0" w:space="0" w:color="auto"/>
        <w:right w:val="none" w:sz="0" w:space="0" w:color="auto"/>
      </w:divBdr>
    </w:div>
    <w:div w:id="593973916">
      <w:bodyDiv w:val="1"/>
      <w:marLeft w:val="0"/>
      <w:marRight w:val="0"/>
      <w:marTop w:val="0"/>
      <w:marBottom w:val="0"/>
      <w:divBdr>
        <w:top w:val="none" w:sz="0" w:space="0" w:color="auto"/>
        <w:left w:val="none" w:sz="0" w:space="0" w:color="auto"/>
        <w:bottom w:val="none" w:sz="0" w:space="0" w:color="auto"/>
        <w:right w:val="none" w:sz="0" w:space="0" w:color="auto"/>
      </w:divBdr>
    </w:div>
    <w:div w:id="793061560">
      <w:bodyDiv w:val="1"/>
      <w:marLeft w:val="0"/>
      <w:marRight w:val="0"/>
      <w:marTop w:val="0"/>
      <w:marBottom w:val="0"/>
      <w:divBdr>
        <w:top w:val="none" w:sz="0" w:space="0" w:color="auto"/>
        <w:left w:val="none" w:sz="0" w:space="0" w:color="auto"/>
        <w:bottom w:val="none" w:sz="0" w:space="0" w:color="auto"/>
        <w:right w:val="none" w:sz="0" w:space="0" w:color="auto"/>
      </w:divBdr>
    </w:div>
    <w:div w:id="892354285">
      <w:bodyDiv w:val="1"/>
      <w:marLeft w:val="0"/>
      <w:marRight w:val="0"/>
      <w:marTop w:val="0"/>
      <w:marBottom w:val="0"/>
      <w:divBdr>
        <w:top w:val="none" w:sz="0" w:space="0" w:color="auto"/>
        <w:left w:val="none" w:sz="0" w:space="0" w:color="auto"/>
        <w:bottom w:val="none" w:sz="0" w:space="0" w:color="auto"/>
        <w:right w:val="none" w:sz="0" w:space="0" w:color="auto"/>
      </w:divBdr>
    </w:div>
    <w:div w:id="1068267398">
      <w:bodyDiv w:val="1"/>
      <w:marLeft w:val="0"/>
      <w:marRight w:val="0"/>
      <w:marTop w:val="0"/>
      <w:marBottom w:val="0"/>
      <w:divBdr>
        <w:top w:val="none" w:sz="0" w:space="0" w:color="auto"/>
        <w:left w:val="none" w:sz="0" w:space="0" w:color="auto"/>
        <w:bottom w:val="none" w:sz="0" w:space="0" w:color="auto"/>
        <w:right w:val="none" w:sz="0" w:space="0" w:color="auto"/>
      </w:divBdr>
    </w:div>
    <w:div w:id="1176383000">
      <w:bodyDiv w:val="1"/>
      <w:marLeft w:val="0"/>
      <w:marRight w:val="0"/>
      <w:marTop w:val="0"/>
      <w:marBottom w:val="0"/>
      <w:divBdr>
        <w:top w:val="none" w:sz="0" w:space="0" w:color="auto"/>
        <w:left w:val="none" w:sz="0" w:space="0" w:color="auto"/>
        <w:bottom w:val="none" w:sz="0" w:space="0" w:color="auto"/>
        <w:right w:val="none" w:sz="0" w:space="0" w:color="auto"/>
      </w:divBdr>
    </w:div>
    <w:div w:id="1188133927">
      <w:bodyDiv w:val="1"/>
      <w:marLeft w:val="0"/>
      <w:marRight w:val="0"/>
      <w:marTop w:val="0"/>
      <w:marBottom w:val="0"/>
      <w:divBdr>
        <w:top w:val="none" w:sz="0" w:space="0" w:color="auto"/>
        <w:left w:val="none" w:sz="0" w:space="0" w:color="auto"/>
        <w:bottom w:val="none" w:sz="0" w:space="0" w:color="auto"/>
        <w:right w:val="none" w:sz="0" w:space="0" w:color="auto"/>
      </w:divBdr>
    </w:div>
    <w:div w:id="1209033566">
      <w:bodyDiv w:val="1"/>
      <w:marLeft w:val="0"/>
      <w:marRight w:val="0"/>
      <w:marTop w:val="0"/>
      <w:marBottom w:val="0"/>
      <w:divBdr>
        <w:top w:val="none" w:sz="0" w:space="0" w:color="auto"/>
        <w:left w:val="none" w:sz="0" w:space="0" w:color="auto"/>
        <w:bottom w:val="none" w:sz="0" w:space="0" w:color="auto"/>
        <w:right w:val="none" w:sz="0" w:space="0" w:color="auto"/>
      </w:divBdr>
    </w:div>
    <w:div w:id="1253124217">
      <w:bodyDiv w:val="1"/>
      <w:marLeft w:val="0"/>
      <w:marRight w:val="0"/>
      <w:marTop w:val="0"/>
      <w:marBottom w:val="0"/>
      <w:divBdr>
        <w:top w:val="none" w:sz="0" w:space="0" w:color="auto"/>
        <w:left w:val="none" w:sz="0" w:space="0" w:color="auto"/>
        <w:bottom w:val="none" w:sz="0" w:space="0" w:color="auto"/>
        <w:right w:val="none" w:sz="0" w:space="0" w:color="auto"/>
      </w:divBdr>
    </w:div>
    <w:div w:id="1282221927">
      <w:bodyDiv w:val="1"/>
      <w:marLeft w:val="0"/>
      <w:marRight w:val="0"/>
      <w:marTop w:val="0"/>
      <w:marBottom w:val="0"/>
      <w:divBdr>
        <w:top w:val="none" w:sz="0" w:space="0" w:color="auto"/>
        <w:left w:val="none" w:sz="0" w:space="0" w:color="auto"/>
        <w:bottom w:val="none" w:sz="0" w:space="0" w:color="auto"/>
        <w:right w:val="none" w:sz="0" w:space="0" w:color="auto"/>
      </w:divBdr>
    </w:div>
    <w:div w:id="1367369620">
      <w:bodyDiv w:val="1"/>
      <w:marLeft w:val="0"/>
      <w:marRight w:val="0"/>
      <w:marTop w:val="0"/>
      <w:marBottom w:val="0"/>
      <w:divBdr>
        <w:top w:val="none" w:sz="0" w:space="0" w:color="auto"/>
        <w:left w:val="none" w:sz="0" w:space="0" w:color="auto"/>
        <w:bottom w:val="none" w:sz="0" w:space="0" w:color="auto"/>
        <w:right w:val="none" w:sz="0" w:space="0" w:color="auto"/>
      </w:divBdr>
    </w:div>
    <w:div w:id="1417635450">
      <w:bodyDiv w:val="1"/>
      <w:marLeft w:val="0"/>
      <w:marRight w:val="0"/>
      <w:marTop w:val="0"/>
      <w:marBottom w:val="0"/>
      <w:divBdr>
        <w:top w:val="none" w:sz="0" w:space="0" w:color="auto"/>
        <w:left w:val="none" w:sz="0" w:space="0" w:color="auto"/>
        <w:bottom w:val="none" w:sz="0" w:space="0" w:color="auto"/>
        <w:right w:val="none" w:sz="0" w:space="0" w:color="auto"/>
      </w:divBdr>
    </w:div>
    <w:div w:id="1455296237">
      <w:bodyDiv w:val="1"/>
      <w:marLeft w:val="0"/>
      <w:marRight w:val="0"/>
      <w:marTop w:val="0"/>
      <w:marBottom w:val="0"/>
      <w:divBdr>
        <w:top w:val="none" w:sz="0" w:space="0" w:color="auto"/>
        <w:left w:val="none" w:sz="0" w:space="0" w:color="auto"/>
        <w:bottom w:val="none" w:sz="0" w:space="0" w:color="auto"/>
        <w:right w:val="none" w:sz="0" w:space="0" w:color="auto"/>
      </w:divBdr>
    </w:div>
    <w:div w:id="1643653881">
      <w:bodyDiv w:val="1"/>
      <w:marLeft w:val="0"/>
      <w:marRight w:val="0"/>
      <w:marTop w:val="0"/>
      <w:marBottom w:val="0"/>
      <w:divBdr>
        <w:top w:val="none" w:sz="0" w:space="0" w:color="auto"/>
        <w:left w:val="none" w:sz="0" w:space="0" w:color="auto"/>
        <w:bottom w:val="none" w:sz="0" w:space="0" w:color="auto"/>
        <w:right w:val="none" w:sz="0" w:space="0" w:color="auto"/>
      </w:divBdr>
    </w:div>
    <w:div w:id="1914193754">
      <w:bodyDiv w:val="1"/>
      <w:marLeft w:val="0"/>
      <w:marRight w:val="0"/>
      <w:marTop w:val="0"/>
      <w:marBottom w:val="0"/>
      <w:divBdr>
        <w:top w:val="none" w:sz="0" w:space="0" w:color="auto"/>
        <w:left w:val="none" w:sz="0" w:space="0" w:color="auto"/>
        <w:bottom w:val="none" w:sz="0" w:space="0" w:color="auto"/>
        <w:right w:val="none" w:sz="0" w:space="0" w:color="auto"/>
      </w:divBdr>
    </w:div>
    <w:div w:id="1985117039">
      <w:bodyDiv w:val="1"/>
      <w:marLeft w:val="0"/>
      <w:marRight w:val="0"/>
      <w:marTop w:val="0"/>
      <w:marBottom w:val="0"/>
      <w:divBdr>
        <w:top w:val="none" w:sz="0" w:space="0" w:color="auto"/>
        <w:left w:val="none" w:sz="0" w:space="0" w:color="auto"/>
        <w:bottom w:val="none" w:sz="0" w:space="0" w:color="auto"/>
        <w:right w:val="none" w:sz="0" w:space="0" w:color="auto"/>
      </w:divBdr>
      <w:divsChild>
        <w:div w:id="2081243163">
          <w:marLeft w:val="0"/>
          <w:marRight w:val="0"/>
          <w:marTop w:val="0"/>
          <w:marBottom w:val="0"/>
          <w:divBdr>
            <w:top w:val="none" w:sz="0" w:space="0" w:color="auto"/>
            <w:left w:val="none" w:sz="0" w:space="0" w:color="auto"/>
            <w:bottom w:val="none" w:sz="0" w:space="0" w:color="auto"/>
            <w:right w:val="none" w:sz="0" w:space="0" w:color="auto"/>
          </w:divBdr>
          <w:divsChild>
            <w:div w:id="628123405">
              <w:marLeft w:val="0"/>
              <w:marRight w:val="0"/>
              <w:marTop w:val="0"/>
              <w:marBottom w:val="0"/>
              <w:divBdr>
                <w:top w:val="none" w:sz="0" w:space="0" w:color="auto"/>
                <w:left w:val="none" w:sz="0" w:space="0" w:color="auto"/>
                <w:bottom w:val="none" w:sz="0" w:space="0" w:color="auto"/>
                <w:right w:val="none" w:sz="0" w:space="0" w:color="auto"/>
              </w:divBdr>
              <w:divsChild>
                <w:div w:id="739256457">
                  <w:marLeft w:val="0"/>
                  <w:marRight w:val="0"/>
                  <w:marTop w:val="0"/>
                  <w:marBottom w:val="0"/>
                  <w:divBdr>
                    <w:top w:val="none" w:sz="0" w:space="0" w:color="auto"/>
                    <w:left w:val="none" w:sz="0" w:space="0" w:color="auto"/>
                    <w:bottom w:val="none" w:sz="0" w:space="0" w:color="auto"/>
                    <w:right w:val="none" w:sz="0" w:space="0" w:color="auto"/>
                  </w:divBdr>
                  <w:divsChild>
                    <w:div w:id="559632311">
                      <w:marLeft w:val="0"/>
                      <w:marRight w:val="0"/>
                      <w:marTop w:val="0"/>
                      <w:marBottom w:val="0"/>
                      <w:divBdr>
                        <w:top w:val="none" w:sz="0" w:space="0" w:color="auto"/>
                        <w:left w:val="none" w:sz="0" w:space="0" w:color="auto"/>
                        <w:bottom w:val="none" w:sz="0" w:space="0" w:color="auto"/>
                        <w:right w:val="none" w:sz="0" w:space="0" w:color="auto"/>
                      </w:divBdr>
                      <w:divsChild>
                        <w:div w:id="164981481">
                          <w:marLeft w:val="0"/>
                          <w:marRight w:val="0"/>
                          <w:marTop w:val="0"/>
                          <w:marBottom w:val="0"/>
                          <w:divBdr>
                            <w:top w:val="none" w:sz="0" w:space="0" w:color="auto"/>
                            <w:left w:val="none" w:sz="0" w:space="0" w:color="auto"/>
                            <w:bottom w:val="none" w:sz="0" w:space="0" w:color="auto"/>
                            <w:right w:val="none" w:sz="0" w:space="0" w:color="auto"/>
                          </w:divBdr>
                          <w:divsChild>
                            <w:div w:id="3111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9DAD3-BDF7-44F2-B806-7E7A48527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1509</Words>
  <Characters>8300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Motta</dc:creator>
  <cp:keywords/>
  <dc:description/>
  <cp:lastModifiedBy>congreso chihuahua</cp:lastModifiedBy>
  <cp:revision>2</cp:revision>
  <cp:lastPrinted>2025-03-13T15:54:00Z</cp:lastPrinted>
  <dcterms:created xsi:type="dcterms:W3CDTF">2025-03-13T20:30:00Z</dcterms:created>
  <dcterms:modified xsi:type="dcterms:W3CDTF">2025-03-13T20:30:00Z</dcterms:modified>
</cp:coreProperties>
</file>